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4706B" w14:paraId="29EEFD3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A7E64C" w14:textId="77777777" w:rsidR="0014706B" w:rsidRDefault="0076292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63AD44A" w14:textId="77777777" w:rsidR="0014706B" w:rsidRDefault="00762929">
            <w:pPr>
              <w:spacing w:after="0" w:line="240" w:lineRule="auto"/>
            </w:pPr>
            <w:r>
              <w:t>10967</w:t>
            </w:r>
          </w:p>
        </w:tc>
      </w:tr>
      <w:tr w:rsidR="0014706B" w14:paraId="2C32F2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740044" w14:textId="77777777" w:rsidR="0014706B" w:rsidRDefault="0076292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D3B04C7" w14:textId="77777777" w:rsidR="0014706B" w:rsidRDefault="00762929">
            <w:pPr>
              <w:spacing w:after="0" w:line="240" w:lineRule="auto"/>
            </w:pPr>
            <w:r>
              <w:t>OSNOVNA ŠKOLA VERUDA PULA</w:t>
            </w:r>
          </w:p>
        </w:tc>
      </w:tr>
      <w:tr w:rsidR="0014706B" w14:paraId="4F450FC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7F996E" w14:textId="77777777" w:rsidR="0014706B" w:rsidRDefault="0076292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F2DE8B3" w14:textId="77777777" w:rsidR="0014706B" w:rsidRDefault="00762929">
            <w:pPr>
              <w:spacing w:after="0" w:line="240" w:lineRule="auto"/>
            </w:pPr>
            <w:r>
              <w:t>31</w:t>
            </w:r>
          </w:p>
        </w:tc>
      </w:tr>
    </w:tbl>
    <w:p w14:paraId="277AAC0B" w14:textId="77777777" w:rsidR="0014706B" w:rsidRDefault="00762929">
      <w:r>
        <w:br/>
      </w:r>
    </w:p>
    <w:p w14:paraId="2826F3AB" w14:textId="77777777" w:rsidR="0014706B" w:rsidRDefault="0076292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95EC082" w14:textId="77777777" w:rsidR="0014706B" w:rsidRDefault="0076292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30C2FD1" w14:textId="77777777" w:rsidR="0014706B" w:rsidRDefault="0076292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59330AE" w14:textId="77777777" w:rsidR="0014706B" w:rsidRDefault="0014706B"/>
    <w:p w14:paraId="3ABF4F30" w14:textId="77777777" w:rsidR="0014706B" w:rsidRDefault="0076292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84DC55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84A48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7AF4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D3F5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3DE0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A4C5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FD1F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5DBB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BB270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9305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1767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A97C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DCAB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2.081.558,47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6C07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2.265.924,26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1B9D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14706B" w14:paraId="32B8EB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1767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B9C9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3E88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C9DC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2.026.730,86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D6BC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2.424.052,57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C89A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  <w:tr w:rsidR="0014706B" w14:paraId="6D5300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39EC1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E3F3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BC01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4815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33B7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158.128,31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D92B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4706B" w14:paraId="204C9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491C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9260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4D73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1892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6DF0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7DFA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706B" w14:paraId="16B36D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6C36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4250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C939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70E5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30.377,36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E6E4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24.795,39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8B27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  <w:tr w:rsidR="0014706B" w14:paraId="0259DF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976CF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FCCE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55EF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8EC7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30.377,36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5718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24.795,39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1BE3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81,6</w:t>
            </w:r>
          </w:p>
        </w:tc>
      </w:tr>
      <w:tr w:rsidR="0014706B" w14:paraId="0DF488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CD93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B6FBF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DE8E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DF25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7B5F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BEEC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706B" w14:paraId="2CFA39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953F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6B28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B945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5FF3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D546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C92D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706B" w14:paraId="1053A3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13160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FF49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6E7A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0A36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90AF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7A00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4706B" w14:paraId="242F8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FFF8F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BF61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D25A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B3CB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4C41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182.923,70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3AC8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DCBFD67" w14:textId="77777777" w:rsidR="0014706B" w:rsidRDefault="0014706B">
      <w:pPr>
        <w:spacing w:after="0"/>
      </w:pPr>
    </w:p>
    <w:p w14:paraId="25C5449E" w14:textId="77777777" w:rsidR="0014706B" w:rsidRDefault="00762929">
      <w:r>
        <w:t>Pravilnikom o izmjenama i dopunama Pravilnika o proračunskom računovodstvu i računskom planu (NN 154/24) koji je stupio na snagu 01.01.2025. godine ukinuta je skupina računa 193 (kontinuirani rashodi budućih razdoblja). Ti rashodi se prenose na odgovarajuć</w:t>
      </w:r>
      <w:r>
        <w:t>e račune razreda 3 (Rashodi poslovanja) te se u izvještajnom razdoblju 01.01.25.-31.12.25. knjiži jedan rashod više nego prethodnih godina. U financijskim izvještajima za 2025. godinu iskazivati će se metodološki manjak s obzirom da će kod kontinuiranih ra</w:t>
      </w:r>
      <w:r>
        <w:t xml:space="preserve">shoda, na </w:t>
      </w:r>
      <w:r>
        <w:lastRenderedPageBreak/>
        <w:t>prijelazima iz jednog u drugo izvještajno razdoblje, postojati raskorak u trenucima priznavanja prihoda i rashoda.</w:t>
      </w:r>
    </w:p>
    <w:p w14:paraId="1BE61FF7" w14:textId="77777777" w:rsidR="0014706B" w:rsidRDefault="00762929">
      <w:r>
        <w:br/>
      </w:r>
    </w:p>
    <w:p w14:paraId="666513E8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2EFBF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9889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901F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DFC2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0768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028F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0FC6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F908C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DBC6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1EF9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27AA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94FD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1.655.024,53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88A6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1.762.837,32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34EB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675849BF" w14:textId="77777777" w:rsidR="0014706B" w:rsidRDefault="0014706B">
      <w:pPr>
        <w:spacing w:after="0"/>
      </w:pPr>
    </w:p>
    <w:p w14:paraId="41120B90" w14:textId="77777777" w:rsidR="0014706B" w:rsidRDefault="00762929">
      <w:r>
        <w:t>Razlog povećanja prihoda od tekućih pomoći proračunskim korisnicima iz proračuna koji nije nadležan je povećanje osnovice za obračun plaće za 3% na plaći za veljaču 2025.g., te 3% na plaći za rujan 2025.g. temeljem potpisanog Dodatka Kolektivnog ugovora ko</w:t>
      </w:r>
      <w:r>
        <w:t>ji je potpisan krajem 2024. godine.</w:t>
      </w:r>
    </w:p>
    <w:p w14:paraId="6C5271B8" w14:textId="77777777" w:rsidR="0014706B" w:rsidRDefault="0014706B"/>
    <w:p w14:paraId="31E19AF4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20D23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246E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6D19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3D7F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FE7A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7E1B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B0BB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177E4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A060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3572E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63BF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7858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7.978,27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9EC6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FD26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</w:t>
            </w:r>
          </w:p>
        </w:tc>
      </w:tr>
    </w:tbl>
    <w:p w14:paraId="2F87F055" w14:textId="77777777" w:rsidR="0014706B" w:rsidRDefault="0014706B">
      <w:pPr>
        <w:spacing w:after="0"/>
      </w:pPr>
    </w:p>
    <w:p w14:paraId="0D1BB111" w14:textId="77777777" w:rsidR="0014706B" w:rsidRDefault="00762929">
      <w:r>
        <w:t>U 2025. godini je nabavljeno manje novih udžbenika za učenike škole u odnosu na prethodnu godinu. Sredstva za nabavku udžbenika osigurava MZO.</w:t>
      </w:r>
    </w:p>
    <w:p w14:paraId="7A6497E3" w14:textId="77777777" w:rsidR="0014706B" w:rsidRDefault="0014706B"/>
    <w:p w14:paraId="0023E0F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0DA8E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9529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2714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093C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1EAD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A56A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C035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0425F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6B90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52F6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7CDB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CD7B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98.988,75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BDA8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106.641,11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B211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14:paraId="7D44755E" w14:textId="77777777" w:rsidR="0014706B" w:rsidRDefault="0014706B">
      <w:pPr>
        <w:spacing w:after="0"/>
      </w:pPr>
    </w:p>
    <w:p w14:paraId="46579195" w14:textId="77777777" w:rsidR="0014706B" w:rsidRDefault="00762929">
      <w:r>
        <w:t>Prihodi od sufinanciranja bilježe rast zbog većeg broja korisnika usluga produženog boravka i ručka u školi.</w:t>
      </w:r>
    </w:p>
    <w:p w14:paraId="2878D37A" w14:textId="77777777" w:rsidR="0014706B" w:rsidRDefault="0014706B"/>
    <w:p w14:paraId="3E55BAB3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7EBBF6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8348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3EE2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4BA4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AA9F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6DB0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D1F7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87132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0A03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FBE1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C5D3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0A6D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CCE0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9F46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165,3</w:t>
            </w:r>
          </w:p>
        </w:tc>
      </w:tr>
    </w:tbl>
    <w:p w14:paraId="79B81068" w14:textId="77777777" w:rsidR="0014706B" w:rsidRDefault="0014706B">
      <w:pPr>
        <w:spacing w:after="0"/>
      </w:pPr>
    </w:p>
    <w:p w14:paraId="255A6FBA" w14:textId="77777777" w:rsidR="0014706B" w:rsidRDefault="00762929">
      <w:r>
        <w:lastRenderedPageBreak/>
        <w:t>Ovdje su evidentirani prihodi od prodaje učeničkih radova kroz školsku zadrugu. Uspoređujući nominalnu vrijednost, prihodovana razlika je zanemariva.</w:t>
      </w:r>
    </w:p>
    <w:p w14:paraId="197CF57C" w14:textId="77777777" w:rsidR="0014706B" w:rsidRDefault="0014706B"/>
    <w:p w14:paraId="69E25163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09E7C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93DC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3A39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8408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F94D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DDF3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9E68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2D486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4527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CA90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D267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8A00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311.017,58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02AB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380.894,73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3D08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5E43DDDB" w14:textId="77777777" w:rsidR="0014706B" w:rsidRDefault="0014706B">
      <w:pPr>
        <w:spacing w:after="0"/>
      </w:pPr>
    </w:p>
    <w:p w14:paraId="6CA2F8BE" w14:textId="77777777" w:rsidR="0014706B" w:rsidRDefault="00762929">
      <w:r>
        <w:t>Ovim prihodima sadrže: prihode za plaće zaposlenih u produženom boravku, prihode za plaće pomoćnika u nastavi, prihode za plaće učitelja koji rade na projektu Građanskog odgoja i prihode za pokriće troškova socijalnog programa.</w:t>
      </w:r>
    </w:p>
    <w:p w14:paraId="432D773A" w14:textId="77777777" w:rsidR="0014706B" w:rsidRDefault="00762929">
      <w:r>
        <w:t>Sredstva općih prihoda i pri</w:t>
      </w:r>
      <w:r>
        <w:t>mitaka za plaće i naknade za zaposlene u produženom boravku su u 2025. godini veća za 16,90% u odnosu na prethodnu godinu. Dio razlike se odnosi na rast plaća, a dio razlike na povećani udio opravdane odsutnosti zaposlenika (bilo temeljem bolovanja ili dru</w:t>
      </w:r>
      <w:r>
        <w:t>ge osnove) u kojem slučaju je plaćana zamjena odsutnog zaposlenika.</w:t>
      </w:r>
    </w:p>
    <w:p w14:paraId="4243BC9E" w14:textId="77777777" w:rsidR="0014706B" w:rsidRDefault="00762929">
      <w:r>
        <w:t>Bitan udio u povećanju prihoda, su povećani prihodi za plaće i naknade pomoćnika u nastavi. U NN 85/2024 donesen je Pravilnik o pomoćnicima u nastavi i stručnim komunikacijskim posrednicim</w:t>
      </w:r>
      <w:r>
        <w:t>a koji donosi bitne promjene u vidu povećane satnice i povećanog razdoblja trajanja radnog odnosa. To je rezultiralo potrebom za većim sredstvima financiranja od 65% u odnosu na prethodnu godinu.</w:t>
      </w:r>
    </w:p>
    <w:p w14:paraId="3BA7DD5A" w14:textId="77777777" w:rsidR="0014706B" w:rsidRDefault="00762929">
      <w:r>
        <w:t xml:space="preserve">Projekt Građanskog odgoja se u 2025.godini provodi sa manje </w:t>
      </w:r>
      <w:r>
        <w:t>učenika, dakle u manje grupa, pa je prihod u odnosu na prethodnu godinu manji za 1.000,00 eura.</w:t>
      </w:r>
    </w:p>
    <w:p w14:paraId="31E3AB60" w14:textId="77777777" w:rsidR="0014706B" w:rsidRDefault="00762929">
      <w:r>
        <w:t>U 2025.godini subvenciju temeljem socijalnog programa Grada Pula - Pola je ostvarilo više obitelji. U odnosu na 2024. godinu prihodi su porasli za 120% u odnosu</w:t>
      </w:r>
      <w:r>
        <w:t xml:space="preserve"> na prethodnu godinu.</w:t>
      </w:r>
    </w:p>
    <w:p w14:paraId="06324803" w14:textId="77777777" w:rsidR="0014706B" w:rsidRDefault="00762929">
      <w:r>
        <w:t> </w:t>
      </w:r>
    </w:p>
    <w:p w14:paraId="52014F2A" w14:textId="77777777" w:rsidR="0014706B" w:rsidRDefault="0014706B"/>
    <w:p w14:paraId="1746E151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F2F80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E98D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A8E0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8850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4447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485A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7D12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56CEE4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9566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5484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2738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6000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1.745.444,66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C7A3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2.078.971,02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9701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5A144B71" w14:textId="77777777" w:rsidR="0014706B" w:rsidRDefault="0014706B">
      <w:pPr>
        <w:spacing w:after="0"/>
      </w:pPr>
    </w:p>
    <w:p w14:paraId="579F17A0" w14:textId="77777777" w:rsidR="0014706B" w:rsidRDefault="00762929">
      <w:r>
        <w:t>Na računima razreda 31 (rashodi za zaposlene), zbog ukidanja podskupine računa 193 i evidentiranja jednog rashoda više, sva konta vezana za plaće imaju povećanje indeksa. Također, temeljem potpisanog Dodatka Kolektivnog ugovora koji je</w:t>
      </w:r>
      <w:r>
        <w:t xml:space="preserve"> dogovoren krajem 2024. godine, rasla je osnovica za obračun plaće za 3% na plaći za veljaču 2025., te 3% na plaći za rujan 2025.</w:t>
      </w:r>
    </w:p>
    <w:p w14:paraId="0D5A2C58" w14:textId="77777777" w:rsidR="0014706B" w:rsidRDefault="0014706B"/>
    <w:p w14:paraId="5763EFED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538E4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84DA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7275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C956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DADF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708F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F9C5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2EF580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9F6A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D7D7E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3A3F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556A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7.441,66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91E8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21.991,69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5ECA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295,5</w:t>
            </w:r>
          </w:p>
        </w:tc>
      </w:tr>
    </w:tbl>
    <w:p w14:paraId="1B52EF3C" w14:textId="77777777" w:rsidR="0014706B" w:rsidRDefault="0014706B">
      <w:pPr>
        <w:spacing w:after="0"/>
      </w:pPr>
    </w:p>
    <w:p w14:paraId="57B0841F" w14:textId="77777777" w:rsidR="0014706B" w:rsidRDefault="00762929">
      <w:r>
        <w:t>Rashodi za plaće za prekovremeni rad zaposlenika imaju indeks 255,5. Uzrok rasta ove vrste rashoda je u nemogućnosti pronalaska zamjena za odsutne učitelje na tržištu rada, te se sve češće angažiraju naši zaposlenici kojima je to onda prekovremeni rad.</w:t>
      </w:r>
    </w:p>
    <w:p w14:paraId="29C9835D" w14:textId="77777777" w:rsidR="0014706B" w:rsidRDefault="0014706B"/>
    <w:p w14:paraId="32C1420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7FA2E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FE09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6C71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14BF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D52C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D474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38D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4D899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14B8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BA0E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8D1D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67AE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67F7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9.072,15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4A69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647ADE6C" w14:textId="77777777" w:rsidR="0014706B" w:rsidRDefault="0014706B">
      <w:pPr>
        <w:spacing w:after="0"/>
      </w:pPr>
    </w:p>
    <w:p w14:paraId="58B3B059" w14:textId="77777777" w:rsidR="0014706B" w:rsidRDefault="00762929">
      <w:r>
        <w:t>Povećani rashodi za plaće za posebne uvjete rada rezultat su sve većeg broja Rješenja o potrebi individualiziranog ili prilagođenog pristupa u radu s učenicima. Temeljem Rješenja o individualizaciji, pristupa se prilagođenom radu, što se posebno iskazuje p</w:t>
      </w:r>
      <w:r>
        <w:t>rilikom obračuna plaća.</w:t>
      </w:r>
    </w:p>
    <w:p w14:paraId="00811B61" w14:textId="77777777" w:rsidR="0014706B" w:rsidRDefault="0014706B"/>
    <w:p w14:paraId="740411E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7AFAC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0D26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53B1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8FAF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070E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931D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963E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2FEAB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8126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7397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42C3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26F9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68.555,81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EB8C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75.980,29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2D55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6F152264" w14:textId="77777777" w:rsidR="0014706B" w:rsidRDefault="0014706B">
      <w:pPr>
        <w:spacing w:after="0"/>
      </w:pPr>
    </w:p>
    <w:p w14:paraId="18D54AFF" w14:textId="77777777" w:rsidR="0014706B" w:rsidRDefault="00762929">
      <w:r>
        <w:t>Analizirajući po kategorijama ostalih rashoda za zaposlene u 2025. godini je isplaćeno 6 nakanada za dugotrajno bolovanje ili smrt bliskog člana obitelji i 11 regresa više u odnosu na 2024. godinu.</w:t>
      </w:r>
    </w:p>
    <w:p w14:paraId="49AAC512" w14:textId="77777777" w:rsidR="0014706B" w:rsidRDefault="0014706B"/>
    <w:p w14:paraId="3757125D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5A64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856E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6D1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588B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9A6A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AF89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E600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5391FD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85E5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7C94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29AC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90EF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04D5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39ED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</w:t>
            </w:r>
          </w:p>
        </w:tc>
      </w:tr>
    </w:tbl>
    <w:p w14:paraId="22B5AA21" w14:textId="77777777" w:rsidR="0014706B" w:rsidRDefault="0014706B">
      <w:pPr>
        <w:spacing w:after="0"/>
      </w:pPr>
    </w:p>
    <w:p w14:paraId="2E4C7D0B" w14:textId="77777777" w:rsidR="0014706B" w:rsidRDefault="00762929">
      <w:r>
        <w:t>U 2025. godini je ostvareno znatno manje službenih putovanja koja uključuju noćenje na destinaciji, ali i manje službenih putovanja općenito. Primjetno je da školske ekskurzije traju manje dana nego je to bilo prethodnih godina, što direktno utječe na troš</w:t>
      </w:r>
      <w:r>
        <w:t>ak dnevnica za službeni put.</w:t>
      </w:r>
    </w:p>
    <w:p w14:paraId="4765ECA8" w14:textId="77777777" w:rsidR="0014706B" w:rsidRDefault="0014706B"/>
    <w:p w14:paraId="2C34C4D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26BB2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F735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7F21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0674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7DF4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E36C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87E2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2470B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2EBB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8AAF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45C8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EEF8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25.292,50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8D0C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29.428,23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D88D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5A910936" w14:textId="77777777" w:rsidR="0014706B" w:rsidRDefault="0014706B">
      <w:pPr>
        <w:spacing w:after="0"/>
      </w:pPr>
    </w:p>
    <w:p w14:paraId="091B430C" w14:textId="77777777" w:rsidR="0014706B" w:rsidRDefault="00762929">
      <w:r>
        <w:t>Razlog povećanog rashodi za naknade za prijevoz zaposlenika u 2025. godini je slijedeći:</w:t>
      </w:r>
    </w:p>
    <w:p w14:paraId="75E7E272" w14:textId="77777777" w:rsidR="0014706B" w:rsidRDefault="00762929">
      <w:r>
        <w:t>- jedna zaposlenica koja putuje do radnog mjesta cca 30 kilometara tijekom 2024.g je bila na roditeljskom dopustu, a u 2025. godini se vratila na rad</w:t>
      </w:r>
    </w:p>
    <w:p w14:paraId="5BE72D5E" w14:textId="77777777" w:rsidR="0014706B" w:rsidRDefault="00762929">
      <w:r>
        <w:t>- u 2025. godini smo zaposlili kao zamjenu za odsutnog zaposlenika osobu koja je svakodnevno putovala auto</w:t>
      </w:r>
      <w:r>
        <w:t>busom iz mjesta udaljenog 50tak kilometara, i drugu osobu koja putuje iz mjesta udaljenog 90 km, a za obje osobe radni odnos je trajao 6 mjeseci</w:t>
      </w:r>
    </w:p>
    <w:p w14:paraId="4EC45606" w14:textId="77777777" w:rsidR="0014706B" w:rsidRDefault="0014706B"/>
    <w:p w14:paraId="5D250D14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7BF1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39D7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DD3D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4129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A8CC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7077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6D03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E8D10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A5BE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4444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CE4D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4B02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789B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9E89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14:paraId="44B5127C" w14:textId="77777777" w:rsidR="0014706B" w:rsidRDefault="0014706B">
      <w:pPr>
        <w:spacing w:after="0"/>
      </w:pPr>
    </w:p>
    <w:p w14:paraId="7192F177" w14:textId="77777777" w:rsidR="0014706B" w:rsidRDefault="00762929">
      <w:r>
        <w:t>Kotizacije za edukacije ne prate pad rashoda za službena putovanja. Uzrok je u novoj praksi edukacija on-line, kada se kotizacija plaća, ali nema rashoda za službeni put, jer se edukacija odvija u vrijeme kada je zaposlenik na radnom mjestu. </w:t>
      </w:r>
    </w:p>
    <w:p w14:paraId="2D465AF1" w14:textId="77777777" w:rsidR="0014706B" w:rsidRDefault="0014706B"/>
    <w:p w14:paraId="7F1B9B00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4B85C3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64BD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7F58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3435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C224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BA8F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D641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8AD4C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DD39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CB28C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98F0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1B75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2974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2A4E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14:paraId="6B6AD2C3" w14:textId="77777777" w:rsidR="0014706B" w:rsidRDefault="0014706B">
      <w:pPr>
        <w:spacing w:after="0"/>
      </w:pPr>
    </w:p>
    <w:p w14:paraId="7C24752D" w14:textId="77777777" w:rsidR="0014706B" w:rsidRDefault="00762929">
      <w:r>
        <w:t>Ovdje je evidentiran isključivo rashod loko vožnje. Povećana ili smanjena potreba za loko vožnjom je nepredvidiva. Iako je indeks 86,7, nominalna razlika je neznatna i za 2025. godinu iznosi 44,50 eur. </w:t>
      </w:r>
    </w:p>
    <w:p w14:paraId="1DB046BF" w14:textId="77777777" w:rsidR="0014706B" w:rsidRDefault="0014706B"/>
    <w:p w14:paraId="0E96C98F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8724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F20F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01EB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6FF7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244E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B1EC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77FE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59D7F7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E7BB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E002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82FE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3A8E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97.478,68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3B84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109.712,92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065A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4D488346" w14:textId="77777777" w:rsidR="0014706B" w:rsidRDefault="0014706B">
      <w:pPr>
        <w:spacing w:after="0"/>
      </w:pPr>
    </w:p>
    <w:p w14:paraId="71E0FE4D" w14:textId="77777777" w:rsidR="0014706B" w:rsidRDefault="00762929">
      <w:r>
        <w:t>Povećan rashod za nabavku namirnica posljedica je većeg broja korisnika usluga produženog boravka i dodatnog obroka u školi, što je vidljivo i iz ostvarenih prihoda.</w:t>
      </w:r>
    </w:p>
    <w:p w14:paraId="5F88C310" w14:textId="77777777" w:rsidR="0014706B" w:rsidRDefault="0014706B"/>
    <w:p w14:paraId="1CB016A7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0C25FC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1D65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8A10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524D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3FE0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591B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2CE6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B051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8413BA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99A639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2EB5D3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A64CEA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3.683,78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8584F7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4.723,87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EEDFCB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1CC19556" w14:textId="77777777" w:rsidR="0014706B" w:rsidRDefault="0014706B">
      <w:pPr>
        <w:spacing w:after="0"/>
      </w:pPr>
    </w:p>
    <w:p w14:paraId="498AD876" w14:textId="77777777" w:rsidR="0014706B" w:rsidRDefault="00762929">
      <w:r>
        <w:t>Rashod za materijal za investicijsko održavanje, koji je doveo do ove razlike u odnosu na prethodnu godinu, je nabava 30 panik lampi, nabava grijača za bojlere i vodokotlića. Stare je bilo potrebno zamijeniti zbog dotrajalosti.</w:t>
      </w:r>
    </w:p>
    <w:p w14:paraId="6E9F06FF" w14:textId="77777777" w:rsidR="0014706B" w:rsidRDefault="0014706B"/>
    <w:p w14:paraId="65DC668F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4734D5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77AF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4B7E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0343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11D1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6E5A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45A9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A074E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0F296D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591643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5BD541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B50ABB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12.374,51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0D924E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8.094,85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569E1C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65,4</w:t>
            </w:r>
          </w:p>
        </w:tc>
      </w:tr>
    </w:tbl>
    <w:p w14:paraId="55625CAD" w14:textId="77777777" w:rsidR="0014706B" w:rsidRDefault="0014706B">
      <w:pPr>
        <w:spacing w:after="0"/>
      </w:pPr>
    </w:p>
    <w:p w14:paraId="398A2F2A" w14:textId="77777777" w:rsidR="0014706B" w:rsidRDefault="00762929">
      <w:r>
        <w:t>Ovi rashodi variraju i nije za očekivati da budu jednaki u različitim godinama. Ono što razlikuje usporedne godine, je da je u 2024. godini puno uloženo u inventar školske kuhinje i nabavu "black out" zastora za školske učionice. </w:t>
      </w:r>
    </w:p>
    <w:p w14:paraId="054041B1" w14:textId="77777777" w:rsidR="0014706B" w:rsidRDefault="0014706B"/>
    <w:p w14:paraId="0D24D834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7D73D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6FF8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</w:t>
            </w:r>
            <w:r>
              <w:rPr>
                <w:b/>
                <w:sz w:val="18"/>
              </w:rPr>
              <w:t>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4F60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FD95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1B42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9E69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0B45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481B7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1202DE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A8D0B8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000C88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919FEF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6.380,75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55749B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5.060,28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0B395A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79,3</w:t>
            </w:r>
          </w:p>
        </w:tc>
      </w:tr>
    </w:tbl>
    <w:p w14:paraId="6F5890B0" w14:textId="77777777" w:rsidR="0014706B" w:rsidRDefault="0014706B">
      <w:pPr>
        <w:spacing w:after="0"/>
      </w:pPr>
    </w:p>
    <w:p w14:paraId="33B3B2C3" w14:textId="77777777" w:rsidR="0014706B" w:rsidRDefault="00762929">
      <w:r>
        <w:t>Ostvareni rashod u 2025.godini je manji u odnosu na prethodnu isključivo zbog izostanka troška prijevoza učenika na županijska sportska natjecanja. U 2025.godini je taj prijevoz bio organiziran na drugačiji način.</w:t>
      </w:r>
    </w:p>
    <w:p w14:paraId="0FDDC260" w14:textId="77777777" w:rsidR="0014706B" w:rsidRDefault="0014706B"/>
    <w:p w14:paraId="4976A70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42504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3972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BAA6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54AC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346F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6E12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76F9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523CD0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D3E1A2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27EF36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B4CCC6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C4B3DF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12.443,90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D9470A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46.702,55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B2037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375,3</w:t>
            </w:r>
          </w:p>
        </w:tc>
      </w:tr>
    </w:tbl>
    <w:p w14:paraId="020F86B8" w14:textId="77777777" w:rsidR="0014706B" w:rsidRDefault="0014706B">
      <w:pPr>
        <w:spacing w:after="0"/>
      </w:pPr>
    </w:p>
    <w:p w14:paraId="28B00089" w14:textId="77777777" w:rsidR="0014706B" w:rsidRDefault="00762929">
      <w:r>
        <w:t>Rashodi za usluge tekućeg i investicijskog održavanja su značajno porasli zbog nužnih radova kao što su električarski radovi za dovođenje u funkciju sušila za ruke, zamjena parketa u tri učionice, montaže radijatorskih odzračnika, popravka škrinje u kuhinj</w:t>
      </w:r>
      <w:r>
        <w:t>i škole, zatamnjivanja stakala u atriju škole, sanacija prokišnjavanja na ulazu u školsku zgradu, soboslikarskih radova, te raznih drugih usluga.</w:t>
      </w:r>
    </w:p>
    <w:p w14:paraId="03114A63" w14:textId="77777777" w:rsidR="0014706B" w:rsidRDefault="0014706B"/>
    <w:p w14:paraId="495F6E70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2D32D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C9A8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1F83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C9D3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8203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8EAF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C0CC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1521D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A91B0F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23F189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99E8A4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22ACB2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1.866,87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EBFCA5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3.871,59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EC34B0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</w:tbl>
    <w:p w14:paraId="4DE63DB0" w14:textId="77777777" w:rsidR="0014706B" w:rsidRDefault="0014706B">
      <w:pPr>
        <w:spacing w:after="0"/>
      </w:pPr>
    </w:p>
    <w:p w14:paraId="14D95AB0" w14:textId="77777777" w:rsidR="0014706B" w:rsidRDefault="00762929">
      <w:r>
        <w:t>U 2025. godini je naša škola bila domaćin županijskog natjecanja iz "Lidrana". Za realizaciju je bilo potrebno zakupiti prostorije u kojima će se natjecanje održati, kao i rasvjetu i razglas za pozornicu.</w:t>
      </w:r>
    </w:p>
    <w:p w14:paraId="7178CBEE" w14:textId="77777777" w:rsidR="0014706B" w:rsidRDefault="0014706B"/>
    <w:p w14:paraId="423459E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C1134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ACBA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4082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ABB3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D9D3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4946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E1C5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88F5D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B1DD3B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25006C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321889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880EF0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4.196,17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55EBCE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6.741,86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E81E73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6F15207A" w14:textId="77777777" w:rsidR="0014706B" w:rsidRDefault="0014706B">
      <w:pPr>
        <w:spacing w:after="0"/>
      </w:pPr>
    </w:p>
    <w:p w14:paraId="188BCE4D" w14:textId="77777777" w:rsidR="0014706B" w:rsidRDefault="00762929">
      <w:r>
        <w:t>Ovdje se evidentiraju mahom ugovorne usluge, koje su iste kroz više razdoblja. U 2025. godini su nastali i drugi rashodi: </w:t>
      </w:r>
    </w:p>
    <w:p w14:paraId="46761BB1" w14:textId="77777777" w:rsidR="0014706B" w:rsidRDefault="00762929">
      <w:pPr>
        <w:pStyle w:val="ListParagraph"/>
        <w:numPr>
          <w:ilvl w:val="0"/>
          <w:numId w:val="1"/>
        </w:numPr>
      </w:pPr>
      <w:r>
        <w:t>odvjetnički troškovi za sudski spor</w:t>
      </w:r>
    </w:p>
    <w:p w14:paraId="3C112639" w14:textId="77777777" w:rsidR="0014706B" w:rsidRDefault="00762929">
      <w:pPr>
        <w:pStyle w:val="ListParagraph"/>
        <w:numPr>
          <w:ilvl w:val="0"/>
          <w:numId w:val="1"/>
        </w:numPr>
      </w:pPr>
      <w:r>
        <w:t>izrada prosudbe ugroženosti</w:t>
      </w:r>
    </w:p>
    <w:p w14:paraId="78F43923" w14:textId="77777777" w:rsidR="0014706B" w:rsidRDefault="00762929">
      <w:pPr>
        <w:pStyle w:val="ListParagraph"/>
        <w:numPr>
          <w:ilvl w:val="0"/>
          <w:numId w:val="1"/>
        </w:numPr>
      </w:pPr>
      <w:r>
        <w:t>izrada nove web stranice škole</w:t>
      </w:r>
    </w:p>
    <w:p w14:paraId="4C40EB26" w14:textId="77777777" w:rsidR="0014706B" w:rsidRDefault="00762929">
      <w:pPr>
        <w:pStyle w:val="ListParagraph"/>
        <w:numPr>
          <w:ilvl w:val="0"/>
          <w:numId w:val="1"/>
        </w:numPr>
      </w:pPr>
      <w:r>
        <w:t>rashod za predavanje "AI u nastavničko</w:t>
      </w:r>
      <w:r>
        <w:t>m okruženju"</w:t>
      </w:r>
    </w:p>
    <w:p w14:paraId="7189FF52" w14:textId="77777777" w:rsidR="0014706B" w:rsidRDefault="00762929">
      <w:pPr>
        <w:pStyle w:val="ListParagraph"/>
        <w:numPr>
          <w:ilvl w:val="0"/>
          <w:numId w:val="1"/>
        </w:numPr>
      </w:pPr>
      <w:r>
        <w:t>rashod za mjerenje emisije plina, što je zakonska obveza svake druge godine</w:t>
      </w:r>
    </w:p>
    <w:p w14:paraId="5614E9EB" w14:textId="77777777" w:rsidR="0014706B" w:rsidRDefault="00762929">
      <w:r>
        <w:t> </w:t>
      </w:r>
    </w:p>
    <w:p w14:paraId="7B5EC365" w14:textId="77777777" w:rsidR="0014706B" w:rsidRDefault="00762929">
      <w:r>
        <w:t> </w:t>
      </w:r>
    </w:p>
    <w:p w14:paraId="7D7AF086" w14:textId="77777777" w:rsidR="0014706B" w:rsidRDefault="0014706B"/>
    <w:p w14:paraId="706A482D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95F9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FDE2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A8F7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E36B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5378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059C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0635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6F2A6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33F6CD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33F063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3DF2A5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368A78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3.391,37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0EF779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13.373,62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DCB2FB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394,3</w:t>
            </w:r>
          </w:p>
        </w:tc>
      </w:tr>
    </w:tbl>
    <w:p w14:paraId="25ED0B21" w14:textId="77777777" w:rsidR="0014706B" w:rsidRDefault="0014706B">
      <w:pPr>
        <w:spacing w:after="0"/>
      </w:pPr>
    </w:p>
    <w:p w14:paraId="11D0AD89" w14:textId="77777777" w:rsidR="0014706B" w:rsidRDefault="00762929">
      <w:r>
        <w:t>Porast troškova za ostale usluge zbog plaćanja usluga tjelesne zaštite u prvoj polovini 2025.godine.</w:t>
      </w:r>
    </w:p>
    <w:p w14:paraId="0D9E0B42" w14:textId="77777777" w:rsidR="0014706B" w:rsidRDefault="0014706B"/>
    <w:p w14:paraId="03229615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1C83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4527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C408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351D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812D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81C4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2670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D4338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8E302A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7EA1C5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B4EBEC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6F9AB7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333BFB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2.949,24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34D730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2585,5</w:t>
            </w:r>
          </w:p>
        </w:tc>
      </w:tr>
    </w:tbl>
    <w:p w14:paraId="16C84207" w14:textId="77777777" w:rsidR="0014706B" w:rsidRDefault="0014706B">
      <w:pPr>
        <w:spacing w:after="0"/>
      </w:pPr>
    </w:p>
    <w:p w14:paraId="1B99BAEC" w14:textId="77777777" w:rsidR="0014706B" w:rsidRDefault="00762929">
      <w:r>
        <w:t>Porast troškova za reprezentaciju zbog organizacije prehrane sudionika županijskog natjecanja iz "Lidrana" koji se održao na dislociranoj lokaciji.</w:t>
      </w:r>
    </w:p>
    <w:p w14:paraId="73A4A1EF" w14:textId="77777777" w:rsidR="0014706B" w:rsidRDefault="0014706B"/>
    <w:p w14:paraId="0DE5427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6FA7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4883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A281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0646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894C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0ED4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B020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74727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1B32EE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1A7AA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CE1323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6511D8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0E5EBC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F930C2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666,7</w:t>
            </w:r>
          </w:p>
        </w:tc>
      </w:tr>
    </w:tbl>
    <w:p w14:paraId="4FBB0EE9" w14:textId="77777777" w:rsidR="0014706B" w:rsidRDefault="0014706B">
      <w:pPr>
        <w:spacing w:after="0"/>
      </w:pPr>
    </w:p>
    <w:p w14:paraId="5637CFFE" w14:textId="77777777" w:rsidR="0014706B" w:rsidRDefault="00762929">
      <w:r>
        <w:t>U 2025. godini je povećan broj uplata za produženi boravak koje pristižu uplatama iz zemalja članica Europske unije. Zagrebačka banka na te doznake zaračunava dodatnu naknadu.</w:t>
      </w:r>
    </w:p>
    <w:p w14:paraId="36332AD3" w14:textId="77777777" w:rsidR="0014706B" w:rsidRDefault="0014706B"/>
    <w:p w14:paraId="63FEBB8A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13DD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D83A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FCA4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FB2E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F08B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ECC5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220B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28EA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B7AEEF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62F229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94F146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9CDD46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5A8DB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278,16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4FABF6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</w:tbl>
    <w:p w14:paraId="360FBC45" w14:textId="77777777" w:rsidR="0014706B" w:rsidRDefault="0014706B">
      <w:pPr>
        <w:spacing w:after="0"/>
      </w:pPr>
    </w:p>
    <w:p w14:paraId="14B670EC" w14:textId="77777777" w:rsidR="0014706B" w:rsidRDefault="00762929">
      <w:r>
        <w:t xml:space="preserve">Ovdje su evidentirani rashodi prijevoza do i iz škole učenika za poteškoćama u razvoju. U 2025. godini, odn. školskoj godini 2024./2025. je ovaj rashod isplaćivan za jednog učenika manje nego 2024. godine, a u školskoj godini 2025./2026. više ovih rashoda </w:t>
      </w:r>
      <w:r>
        <w:t>nema.</w:t>
      </w:r>
    </w:p>
    <w:p w14:paraId="3616CDA6" w14:textId="77777777" w:rsidR="0014706B" w:rsidRDefault="0014706B"/>
    <w:p w14:paraId="23DC30D3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762D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9C81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F335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06D0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3DE7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A602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7D21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B84C4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64B52F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2BA830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8409CD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1CD0DD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299AE8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CC84ED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3F7FBA21" w14:textId="77777777" w:rsidR="0014706B" w:rsidRDefault="0014706B">
      <w:pPr>
        <w:spacing w:after="0"/>
      </w:pPr>
    </w:p>
    <w:p w14:paraId="221457E9" w14:textId="77777777" w:rsidR="0014706B" w:rsidRDefault="00762929">
      <w:r>
        <w:t>Namjenska sredstva za menstrualne potrepštine su pomoći iz Državnog proračuna, a njihova visina ovisi o broju učenica koje pohađaju našu školu. U 2025.godini je prihodovano više i veći je trošak.</w:t>
      </w:r>
    </w:p>
    <w:p w14:paraId="017D49E9" w14:textId="77777777" w:rsidR="0014706B" w:rsidRDefault="0014706B"/>
    <w:p w14:paraId="3E890EF7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92BE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FF0B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2CA1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FA8E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E6F0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5DDE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E742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4AA49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47C62EF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EC602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131EFF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3CFC63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4F45D5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158.128,31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DAD83E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C1559C" w14:textId="77777777" w:rsidR="0014706B" w:rsidRDefault="0014706B">
      <w:pPr>
        <w:spacing w:after="0"/>
      </w:pPr>
    </w:p>
    <w:p w14:paraId="7AFE0BFF" w14:textId="77777777" w:rsidR="0014706B" w:rsidRDefault="00762929">
      <w:r>
        <w:t>Iskazan je metodološki manjak nastao zbog evidentiranja jednog dodatnog rashoda za plaću (sukladno novom Pravilniku o proračunskom računovodstvu). </w:t>
      </w:r>
    </w:p>
    <w:p w14:paraId="7F1F3D07" w14:textId="77777777" w:rsidR="0014706B" w:rsidRDefault="0014706B"/>
    <w:p w14:paraId="6C753E6F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838E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9232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59E1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F219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9598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C738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9A41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3E441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9BE472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3BD34C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C9FAA2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44FD33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15.428,23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567BE0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158.115,07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7F1D77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1024,8</w:t>
            </w:r>
          </w:p>
        </w:tc>
      </w:tr>
    </w:tbl>
    <w:p w14:paraId="16AC1854" w14:textId="77777777" w:rsidR="0014706B" w:rsidRDefault="0014706B">
      <w:pPr>
        <w:spacing w:after="0"/>
      </w:pPr>
    </w:p>
    <w:p w14:paraId="632E0117" w14:textId="77777777" w:rsidR="0014706B" w:rsidRDefault="00762929">
      <w:r>
        <w:t>Sukladno novom Pravilniku o proračunskom računovodstvu i računskom planu, od 01.01.2025.godine evidentiraju se i potraživanja od nenadležnog proračuna.</w:t>
      </w:r>
    </w:p>
    <w:p w14:paraId="76ECC07F" w14:textId="77777777" w:rsidR="0014706B" w:rsidRDefault="0014706B"/>
    <w:p w14:paraId="73A1AC9D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45B8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7F33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9E89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C7C0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F524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4C5B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2A9D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70113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6F2770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ECCD9F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3D3198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486EB1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1.708,75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6F5C12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CFFA8F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F466F22" w14:textId="77777777" w:rsidR="0014706B" w:rsidRDefault="0014706B">
      <w:pPr>
        <w:spacing w:after="0"/>
      </w:pPr>
    </w:p>
    <w:p w14:paraId="4C226F73" w14:textId="77777777" w:rsidR="0014706B" w:rsidRDefault="00762929">
      <w:r>
        <w:t>U 2024. godini je kupljena jedna klima. U 2025.g nema nabavke opreme za održavanje i zaštitu.</w:t>
      </w:r>
    </w:p>
    <w:p w14:paraId="601A719B" w14:textId="77777777" w:rsidR="0014706B" w:rsidRDefault="0014706B"/>
    <w:p w14:paraId="7185378C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5BCBD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0F9C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C4F1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31DD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C9DF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4026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D6A8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7FF3E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68AB2E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1FDFD3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7E7204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8CD6D8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BF0A87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2.319,24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A7A7C4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0DE554" w14:textId="77777777" w:rsidR="0014706B" w:rsidRDefault="0014706B">
      <w:pPr>
        <w:spacing w:after="0"/>
      </w:pPr>
    </w:p>
    <w:p w14:paraId="6E23BB21" w14:textId="77777777" w:rsidR="0014706B" w:rsidRDefault="00762929">
      <w:r>
        <w:t>U 2024. godini nema rashoda za ovu vrstu opreme, dok je u 2025. godini nabavaljen uređaj za kontrolu pristupa sa svim potrebnim instalacijama i radovima koji su potrebni da bi bio u funkciji.</w:t>
      </w:r>
    </w:p>
    <w:p w14:paraId="6BCEC53D" w14:textId="77777777" w:rsidR="0014706B" w:rsidRDefault="0014706B"/>
    <w:p w14:paraId="7671B6DC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5C704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0FFF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7C1A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CFC3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5581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189C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06BB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FB156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A4FACF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DAAA75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6E19B6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812A09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4.706,13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DA8B91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CD0C20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159B821" w14:textId="77777777" w:rsidR="0014706B" w:rsidRDefault="0014706B">
      <w:pPr>
        <w:spacing w:after="0"/>
      </w:pPr>
    </w:p>
    <w:p w14:paraId="69F97C43" w14:textId="77777777" w:rsidR="0014706B" w:rsidRDefault="00762929">
      <w:r>
        <w:t>Tijekom 2024. godine nabavljena je topla komora za školsku kuhinju, kosilica i oprema koja se koristi u izvođenju nastave tehničke kulture. U 2025. godini nije bilo nabavke uređaja, strojeva i opreme.</w:t>
      </w:r>
    </w:p>
    <w:p w14:paraId="232111FA" w14:textId="77777777" w:rsidR="0014706B" w:rsidRDefault="0014706B"/>
    <w:p w14:paraId="46BB5785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A6DE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96FE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6713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240B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8ADD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25F1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68F2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BD304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579F4E9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2B576A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695764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E74F9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AE45C5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182.923,70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5B780B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73436F" w14:textId="77777777" w:rsidR="0014706B" w:rsidRDefault="0014706B">
      <w:pPr>
        <w:spacing w:after="0"/>
      </w:pPr>
    </w:p>
    <w:p w14:paraId="55EEFE3F" w14:textId="77777777" w:rsidR="0014706B" w:rsidRDefault="00762929">
      <w:r>
        <w:t>Ukupan manjak prihoda se sastoji od:</w:t>
      </w:r>
    </w:p>
    <w:tbl>
      <w:tblPr>
        <w:tblStyle w:val="TableGrid"/>
        <w:tblW w:w="4033" w:type="pct"/>
        <w:tblLook w:val="04A0" w:firstRow="1" w:lastRow="0" w:firstColumn="1" w:lastColumn="0" w:noHBand="0" w:noVBand="1"/>
      </w:tblPr>
      <w:tblGrid>
        <w:gridCol w:w="4811"/>
        <w:gridCol w:w="4812"/>
      </w:tblGrid>
      <w:tr w:rsidR="0014706B" w14:paraId="616323CA" w14:textId="77777777">
        <w:tc>
          <w:tcPr>
            <w:tcW w:w="2499" w:type="pct"/>
            <w:vAlign w:val="center"/>
          </w:tcPr>
          <w:p w14:paraId="4C9C99B7" w14:textId="77777777" w:rsidR="0014706B" w:rsidRDefault="00762929">
            <w:r>
              <w:t>-33.246,10 eura</w:t>
            </w:r>
          </w:p>
        </w:tc>
        <w:tc>
          <w:tcPr>
            <w:tcW w:w="2500" w:type="pct"/>
            <w:vAlign w:val="center"/>
          </w:tcPr>
          <w:p w14:paraId="2EC1F1B9" w14:textId="77777777" w:rsidR="0014706B" w:rsidRDefault="00762929">
            <w:r>
              <w:t>potrošen višak iz 2024. godine</w:t>
            </w:r>
          </w:p>
        </w:tc>
      </w:tr>
      <w:tr w:rsidR="0014706B" w14:paraId="4CF1E5F9" w14:textId="77777777">
        <w:tc>
          <w:tcPr>
            <w:tcW w:w="2499" w:type="pct"/>
            <w:vAlign w:val="center"/>
          </w:tcPr>
          <w:p w14:paraId="3360F791" w14:textId="77777777" w:rsidR="0014706B" w:rsidRDefault="00762929">
            <w:r>
              <w:t>18.772,39 eura</w:t>
            </w:r>
          </w:p>
        </w:tc>
        <w:tc>
          <w:tcPr>
            <w:tcW w:w="2500" w:type="pct"/>
            <w:vAlign w:val="center"/>
          </w:tcPr>
          <w:p w14:paraId="2A0640D5" w14:textId="77777777" w:rsidR="0014706B" w:rsidRDefault="00762929">
            <w:r>
              <w:t>višak - ostaci po izvorima (pomoći od države, prihodi od usluga, prihodi od sufinanciranja)</w:t>
            </w:r>
          </w:p>
        </w:tc>
      </w:tr>
      <w:tr w:rsidR="0014706B" w14:paraId="78D47123" w14:textId="77777777">
        <w:tc>
          <w:tcPr>
            <w:tcW w:w="2499" w:type="pct"/>
            <w:vAlign w:val="center"/>
          </w:tcPr>
          <w:p w14:paraId="77105CF1" w14:textId="77777777" w:rsidR="0014706B" w:rsidRDefault="00762929">
            <w:r>
              <w:t>-168.449,99 eura</w:t>
            </w:r>
          </w:p>
        </w:tc>
        <w:tc>
          <w:tcPr>
            <w:tcW w:w="2500" w:type="pct"/>
            <w:vAlign w:val="center"/>
          </w:tcPr>
          <w:p w14:paraId="49CA8170" w14:textId="77777777" w:rsidR="0014706B" w:rsidRDefault="00762929">
            <w:r>
              <w:t>metodološki manjak (plaće i naknade MZO, plaće produženi boravak, plaće pomoćnika u nastavi)</w:t>
            </w:r>
          </w:p>
        </w:tc>
      </w:tr>
      <w:tr w:rsidR="0014706B" w14:paraId="2D03CA0C" w14:textId="77777777">
        <w:tc>
          <w:tcPr>
            <w:tcW w:w="2499" w:type="pct"/>
            <w:vAlign w:val="center"/>
          </w:tcPr>
          <w:p w14:paraId="0905488D" w14:textId="77777777" w:rsidR="0014706B" w:rsidRDefault="00762929">
            <w:r>
              <w:t>-182.923,70 eura</w:t>
            </w:r>
          </w:p>
        </w:tc>
        <w:tc>
          <w:tcPr>
            <w:tcW w:w="2500" w:type="pct"/>
            <w:vAlign w:val="center"/>
          </w:tcPr>
          <w:p w14:paraId="2ABCEE04" w14:textId="77777777" w:rsidR="0014706B" w:rsidRDefault="00762929">
            <w:r>
              <w:t> </w:t>
            </w:r>
          </w:p>
        </w:tc>
      </w:tr>
    </w:tbl>
    <w:p w14:paraId="056B09DA" w14:textId="77777777" w:rsidR="0014706B" w:rsidRDefault="00762929">
      <w:r>
        <w:t> </w:t>
      </w:r>
    </w:p>
    <w:p w14:paraId="76659B5A" w14:textId="77777777" w:rsidR="0014706B" w:rsidRDefault="0014706B"/>
    <w:p w14:paraId="3305BD83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58EA9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4212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7E75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22A3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9D89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61E0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B975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555B8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BDFE9A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127ED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i od prodaje nefinancijske </w:t>
            </w:r>
            <w:r>
              <w:rPr>
                <w:sz w:val="18"/>
              </w:rPr>
              <w:t>imovine - nenaplaćeni (šifre 96+97)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97A35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C61254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15.428,23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5E0003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158.115,07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D76102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1024,8</w:t>
            </w:r>
          </w:p>
        </w:tc>
      </w:tr>
    </w:tbl>
    <w:p w14:paraId="348F146A" w14:textId="77777777" w:rsidR="0014706B" w:rsidRDefault="0014706B">
      <w:pPr>
        <w:spacing w:after="0"/>
      </w:pPr>
    </w:p>
    <w:p w14:paraId="700F02AB" w14:textId="77777777" w:rsidR="0014706B" w:rsidRDefault="00762929">
      <w:r>
        <w:t>Pravilnikom o izmjenama i dopunama Pravilnika o proračunskom računovodstvu i računskom planu (NN 154/24) koji je stupio na snagu 01.01.2025. godine ukinuta je skupina računa 193 (kontinuirani rashodi budućih razdoblja). Ti rashodi se prenose na odgovarajuć</w:t>
      </w:r>
      <w:r>
        <w:t>e račune razreda 3 (Rashodi poslovanja) te se u izvještajnom razdoblju 01.01.25.-31.12.25. knjiži jedan rashod više nego prethodnih godina. Isto se evidentira na obračunatim prihodima, pa su oni u ovom izvještajnom razdoblju bitno viši u odnosu na obračuna</w:t>
      </w:r>
      <w:r>
        <w:t>te prihode prethodne godine.</w:t>
      </w:r>
    </w:p>
    <w:p w14:paraId="0AE64400" w14:textId="77777777" w:rsidR="0014706B" w:rsidRDefault="0014706B"/>
    <w:p w14:paraId="3ECB5A70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0E7F6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5B7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7E4A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D0DB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37D3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89EF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77C1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D36AB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8D025F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44C403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</w:t>
            </w:r>
            <w:r>
              <w:rPr>
                <w:sz w:val="18"/>
              </w:rPr>
              <w:t>(aktivna vremenska razgraničenja)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C48DB5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212A22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149.491,14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FE3389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AFFAA5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5504E55" w14:textId="77777777" w:rsidR="0014706B" w:rsidRDefault="0014706B">
      <w:pPr>
        <w:spacing w:after="0"/>
      </w:pPr>
    </w:p>
    <w:p w14:paraId="54D9ED04" w14:textId="77777777" w:rsidR="0014706B" w:rsidRDefault="00762929">
      <w:r>
        <w:t>Od 01.01.2025. ovi potraživanja se više ne evidentiraju.</w:t>
      </w:r>
    </w:p>
    <w:p w14:paraId="4766A000" w14:textId="77777777" w:rsidR="0014706B" w:rsidRDefault="0014706B"/>
    <w:p w14:paraId="4714E8E8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E6B5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7DC0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FF66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C46F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BA6D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C143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F7B5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ECE59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7C56E5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C26773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AB845A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A542AB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1.643.163,19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9F7D10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1.745.872,95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319C60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0D40D9F7" w14:textId="77777777" w:rsidR="0014706B" w:rsidRDefault="0014706B">
      <w:pPr>
        <w:spacing w:after="0"/>
      </w:pPr>
    </w:p>
    <w:p w14:paraId="0BF68371" w14:textId="77777777" w:rsidR="0014706B" w:rsidRDefault="00762929">
      <w:r>
        <w:t>Temeljem potpisanog Dodatka Kolektivnog ugovora koji je dogovoren krajem 2024. godine, rasla je osnovica za obračun plaće za 3% na plaći za veljaču 2025., te 3% na plaći za rujan 2025. Iako se sva bitna razlika odnosi na razliku u plaćama i naknadama, izdv</w:t>
      </w:r>
      <w:r>
        <w:t>ojila bih povećane prihode za plaće u dijelu plaćanja zamjena za odsutne zaposlenike.</w:t>
      </w:r>
    </w:p>
    <w:p w14:paraId="0B1D4E0F" w14:textId="77777777" w:rsidR="0014706B" w:rsidRDefault="0014706B"/>
    <w:p w14:paraId="7E485E47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48B91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5B8E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3AAD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EF9E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5613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050F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E7AC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7A42A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EEE2E0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67F8D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9C1279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218B88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11.861,34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96AEEE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16.964,37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65AE23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143,0</w:t>
            </w:r>
          </w:p>
        </w:tc>
      </w:tr>
    </w:tbl>
    <w:p w14:paraId="40115CA3" w14:textId="77777777" w:rsidR="0014706B" w:rsidRDefault="0014706B">
      <w:pPr>
        <w:spacing w:after="0"/>
      </w:pPr>
    </w:p>
    <w:p w14:paraId="751BAC4F" w14:textId="77777777" w:rsidR="0014706B" w:rsidRDefault="00762929">
      <w:r>
        <w:t>Veći prihodi se odnose na veće prihode iz općinskih proračuna za sufinanciranje cijene produženog boravka učenicima. </w:t>
      </w:r>
    </w:p>
    <w:p w14:paraId="41AE3D66" w14:textId="77777777" w:rsidR="0014706B" w:rsidRDefault="0014706B"/>
    <w:p w14:paraId="54763EB5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C0F9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078A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067E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F7B6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D56B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4648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2464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90EF7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D850B3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40C9F3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343DC9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D7252C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7.978,27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5DDEEB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5.932,39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E1C91B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</w:t>
            </w:r>
          </w:p>
        </w:tc>
      </w:tr>
    </w:tbl>
    <w:p w14:paraId="4E2BFBDD" w14:textId="77777777" w:rsidR="0014706B" w:rsidRDefault="0014706B">
      <w:pPr>
        <w:spacing w:after="0"/>
      </w:pPr>
    </w:p>
    <w:p w14:paraId="086A3AC2" w14:textId="77777777" w:rsidR="0014706B" w:rsidRDefault="00762929">
      <w:r>
        <w:t>Smanjeni kapitalni prihodi posljedica su manje potrebe za novom nabavkom udžbenika za učenike škole.</w:t>
      </w:r>
    </w:p>
    <w:p w14:paraId="6E5CE669" w14:textId="77777777" w:rsidR="0014706B" w:rsidRDefault="0014706B"/>
    <w:p w14:paraId="7D004459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749B1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B146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B6A7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F70E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A3D1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6243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77CC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D5C06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CD0BE2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F1C4D1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BC7351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44D82D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9.245,08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CA020E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6.461,82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61B38B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69,9</w:t>
            </w:r>
          </w:p>
        </w:tc>
      </w:tr>
    </w:tbl>
    <w:p w14:paraId="4E6B4DF5" w14:textId="77777777" w:rsidR="0014706B" w:rsidRDefault="0014706B">
      <w:pPr>
        <w:spacing w:after="0"/>
      </w:pPr>
    </w:p>
    <w:p w14:paraId="059A85A7" w14:textId="77777777" w:rsidR="0014706B" w:rsidRDefault="00762929">
      <w:r>
        <w:t>U 2024. godini je 4 zaposlenika prestalo raditi zbog odlaska u mirovinu, a u 2025.godini dvoje. Trošak otpremnine je u 2025.g povećan, a veže se uz osnovicu za isplatu plaće.</w:t>
      </w:r>
    </w:p>
    <w:p w14:paraId="1405FC63" w14:textId="77777777" w:rsidR="0014706B" w:rsidRDefault="00762929">
      <w:r>
        <w:t> </w:t>
      </w:r>
    </w:p>
    <w:p w14:paraId="44B01597" w14:textId="77777777" w:rsidR="0014706B" w:rsidRDefault="0014706B"/>
    <w:p w14:paraId="32392177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06E26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5A36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98F3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7F5B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9506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F709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F288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21F6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6267DC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DB50B3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57B625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9779FA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2.207,20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D34CEE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4.855,84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DF1D90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</w:t>
            </w:r>
          </w:p>
        </w:tc>
      </w:tr>
    </w:tbl>
    <w:p w14:paraId="49B1628A" w14:textId="77777777" w:rsidR="0014706B" w:rsidRDefault="0014706B">
      <w:pPr>
        <w:spacing w:after="0"/>
      </w:pPr>
    </w:p>
    <w:p w14:paraId="351E347B" w14:textId="77777777" w:rsidR="0014706B" w:rsidRDefault="00762929">
      <w:r>
        <w:t>ovu naknadu je u 2024. godini primilo 5 zaposlenika, a u 2025. godi 11 zaposlenika.</w:t>
      </w:r>
    </w:p>
    <w:p w14:paraId="62D01F2F" w14:textId="77777777" w:rsidR="0014706B" w:rsidRDefault="0014706B"/>
    <w:p w14:paraId="6549395F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7C860C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ACF8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9062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CD26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10FB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4A5D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AF21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1B9EEB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DA1757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624DCB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F33CA3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0E29940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25.292,50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01DCEF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29.428,23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298D13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3ACCF900" w14:textId="77777777" w:rsidR="0014706B" w:rsidRDefault="0014706B">
      <w:pPr>
        <w:spacing w:after="0"/>
      </w:pPr>
    </w:p>
    <w:p w14:paraId="6479470B" w14:textId="77777777" w:rsidR="0014706B" w:rsidRDefault="00762929">
      <w:r>
        <w:t>U 2025. godini je trošak veći zbog povećanog broja zaposlenika kojima je udaljenost mjesta prebivališta i mjesta rada veća od 50 km.</w:t>
      </w:r>
    </w:p>
    <w:p w14:paraId="1BA76D3B" w14:textId="77777777" w:rsidR="0014706B" w:rsidRDefault="0014706B"/>
    <w:p w14:paraId="01162A0F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0C7C2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828B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EAED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6B33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7276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F075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855A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398AD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1248A2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1D46BEF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D3D760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9E5F25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58DC5F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2.496,34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AF1A6C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7350C5E6" w14:textId="77777777" w:rsidR="0014706B" w:rsidRDefault="0014706B">
      <w:pPr>
        <w:spacing w:after="0"/>
      </w:pPr>
    </w:p>
    <w:p w14:paraId="7CC4F160" w14:textId="77777777" w:rsidR="0014706B" w:rsidRDefault="00762929">
      <w:r>
        <w:t>Visina naknade se mijenja početkom svake godine. pa je u 2025.g. naknada veća nego u 2024.godini.</w:t>
      </w:r>
    </w:p>
    <w:p w14:paraId="2A6CF493" w14:textId="77777777" w:rsidR="0014706B" w:rsidRDefault="0014706B"/>
    <w:p w14:paraId="30EF7941" w14:textId="77777777" w:rsidR="0014706B" w:rsidRDefault="0076292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E0B81E3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FFE83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2C20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B257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84D2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4704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3A2C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9012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9BFBF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20E280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422D73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7A6E25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8463ED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1.982,02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9E63F2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142.386,83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112CFE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7183,9</w:t>
            </w:r>
          </w:p>
        </w:tc>
      </w:tr>
    </w:tbl>
    <w:p w14:paraId="1C2F87E7" w14:textId="77777777" w:rsidR="0014706B" w:rsidRDefault="0014706B">
      <w:pPr>
        <w:spacing w:after="0"/>
      </w:pPr>
    </w:p>
    <w:p w14:paraId="667D78DD" w14:textId="77777777" w:rsidR="0014706B" w:rsidRDefault="00762929">
      <w:r>
        <w:t>U početnom stanju 01.01.2025. nalaze se potraživanja za sufinanciranje Općine Medulin i Ližnjan za 11/24 i 12/24.</w:t>
      </w:r>
    </w:p>
    <w:p w14:paraId="7692AF37" w14:textId="77777777" w:rsidR="0014706B" w:rsidRDefault="00762929">
      <w:r>
        <w:t>Na dan 31.12.2025. osim potraživanja za sufinanciranje Općine Medulin i Ližnjan za 11/25 i 12/25, nalazi se i potraživanje za plaće i nakanade MZO u iznosu 139.877,01 euro.</w:t>
      </w:r>
    </w:p>
    <w:p w14:paraId="7458D7A0" w14:textId="77777777" w:rsidR="0014706B" w:rsidRDefault="00762929">
      <w:r>
        <w:t> </w:t>
      </w:r>
    </w:p>
    <w:p w14:paraId="0F54FEB4" w14:textId="77777777" w:rsidR="0014706B" w:rsidRDefault="0014706B"/>
    <w:p w14:paraId="4ABBF05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0038A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F44B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C12E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DC30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04D6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5F1B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69AA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2E6C07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014CE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4F092E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C40DE0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F9369D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937,50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550A70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1.137,50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24F23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015C778F" w14:textId="77777777" w:rsidR="0014706B" w:rsidRDefault="0014706B">
      <w:pPr>
        <w:spacing w:after="0"/>
      </w:pPr>
    </w:p>
    <w:p w14:paraId="5363687D" w14:textId="77777777" w:rsidR="0014706B" w:rsidRDefault="00762929">
      <w:r>
        <w:t>Na 31.12.25. otvoreno je potraživanje za račun više nego na početku godine. Isti je podmiren do 15.01.2026.</w:t>
      </w:r>
    </w:p>
    <w:p w14:paraId="27AC5E73" w14:textId="77777777" w:rsidR="0014706B" w:rsidRDefault="0014706B"/>
    <w:p w14:paraId="1AB03B5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42CF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06E9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F5A5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A94F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10F1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C8C8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88A4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25F88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C13FE5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61082B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</w:t>
            </w:r>
            <w:r>
              <w:rPr>
                <w:sz w:val="18"/>
              </w:rPr>
              <w:t>sredstva uplaćena u nadležni proračun i za prihode od HZZO-a na temelju ugovornih obveza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740BD7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8F6EAA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46.794,39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39507A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35.185,90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75426C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75,2</w:t>
            </w:r>
          </w:p>
        </w:tc>
      </w:tr>
    </w:tbl>
    <w:p w14:paraId="660C9CB6" w14:textId="77777777" w:rsidR="0014706B" w:rsidRDefault="0014706B">
      <w:pPr>
        <w:spacing w:after="0"/>
      </w:pPr>
    </w:p>
    <w:p w14:paraId="0CE4CFDB" w14:textId="77777777" w:rsidR="0014706B" w:rsidRDefault="00762929">
      <w:r>
        <w:t>Razlog ovom smanjenju je u manje bolovanja za koje je potreban povrat HZZOa, ali i zbog vrijednosti izvršenih kompenzacija.</w:t>
      </w:r>
    </w:p>
    <w:p w14:paraId="4106C0F3" w14:textId="77777777" w:rsidR="0014706B" w:rsidRDefault="0014706B"/>
    <w:p w14:paraId="3B25138D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A748C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BE9E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A23E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049F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20B5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A633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E42C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4BEA08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43F245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56180D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984ED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614367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1.198,90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07A2FD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498,48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A8A6FA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41,6</w:t>
            </w:r>
          </w:p>
        </w:tc>
      </w:tr>
    </w:tbl>
    <w:p w14:paraId="6C5A9DDF" w14:textId="77777777" w:rsidR="0014706B" w:rsidRDefault="0014706B">
      <w:pPr>
        <w:spacing w:after="0"/>
      </w:pPr>
    </w:p>
    <w:p w14:paraId="6B675E7C" w14:textId="77777777" w:rsidR="0014706B" w:rsidRDefault="00762929">
      <w:r>
        <w:t>Veći dio potraživanja kojima je ispravljena vrijednost je Odlukom ravnatelja o otpisu nenaplativih potraživanja i Odlukom školskog odbora otpisan.</w:t>
      </w:r>
    </w:p>
    <w:p w14:paraId="77A0993B" w14:textId="77777777" w:rsidR="0014706B" w:rsidRDefault="0014706B"/>
    <w:p w14:paraId="672352B5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32C36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8E7B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DF18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8B68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ECF4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3A5A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6A1A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2943E8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E27B5D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476B19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887130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0F26123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149.491,14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D857B5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4D8B92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D2D2776" w14:textId="77777777" w:rsidR="0014706B" w:rsidRDefault="0014706B">
      <w:pPr>
        <w:spacing w:after="0"/>
      </w:pPr>
    </w:p>
    <w:p w14:paraId="384F9BCE" w14:textId="77777777" w:rsidR="0014706B" w:rsidRDefault="00762929">
      <w:r>
        <w:t>Evidencija rashoda budućih razdoblja se od 01.01.2025. ne primjenjuje.</w:t>
      </w:r>
    </w:p>
    <w:p w14:paraId="611901AE" w14:textId="77777777" w:rsidR="0014706B" w:rsidRDefault="0014706B"/>
    <w:p w14:paraId="176253D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E5FC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8357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779C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6E06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C33A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64BC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627C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17C87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A64E61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BDCD74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3C8CFA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7F90AC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81FDB8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4.145,63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9356BF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3326,6</w:t>
            </w:r>
          </w:p>
        </w:tc>
      </w:tr>
    </w:tbl>
    <w:p w14:paraId="215D80E3" w14:textId="77777777" w:rsidR="0014706B" w:rsidRDefault="0014706B">
      <w:pPr>
        <w:spacing w:after="0"/>
      </w:pPr>
    </w:p>
    <w:p w14:paraId="1B2647C1" w14:textId="77777777" w:rsidR="0014706B" w:rsidRDefault="00762929">
      <w:r>
        <w:t>Na početku godine je otvorena obveza prema dobavljaču za nabavu dugotrajne imovine bila 124,62 eur.  </w:t>
      </w:r>
    </w:p>
    <w:p w14:paraId="269B7A70" w14:textId="77777777" w:rsidR="0014706B" w:rsidRDefault="00762929">
      <w:r>
        <w:t>I na kraju godine je neplaćena samo jedna faktura, ali je iznos znatno veći.</w:t>
      </w:r>
    </w:p>
    <w:p w14:paraId="35B4E92D" w14:textId="77777777" w:rsidR="0014706B" w:rsidRDefault="0014706B"/>
    <w:p w14:paraId="7862344E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90EF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D8B7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C739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BC23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5DDB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6ADD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8B39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D227D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F16661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956E15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50F727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CA6167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5.651,77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AB9B78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4.379,54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1C2116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7F2527E1" w14:textId="77777777" w:rsidR="0014706B" w:rsidRDefault="0014706B">
      <w:pPr>
        <w:spacing w:after="0"/>
      </w:pPr>
    </w:p>
    <w:p w14:paraId="4F77DBBD" w14:textId="77777777" w:rsidR="0014706B" w:rsidRDefault="00762929">
      <w:r>
        <w:t>Obveze HZZOa za povrat u Državnu riznicu je na kraju godine manja. Razlog tome je manje bolovanja na teret HZZOa, ali i veći iznosi podmirenih naknada.</w:t>
      </w:r>
    </w:p>
    <w:p w14:paraId="4435B9B3" w14:textId="77777777" w:rsidR="0014706B" w:rsidRDefault="0014706B"/>
    <w:p w14:paraId="5C21F246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6D60F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8570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E603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EB15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644C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8543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2987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B9C31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C2C572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C1908E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778530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E16E33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33.246,10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F18092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-149.677,60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824ECC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-450,2</w:t>
            </w:r>
          </w:p>
        </w:tc>
      </w:tr>
    </w:tbl>
    <w:p w14:paraId="021B90B2" w14:textId="77777777" w:rsidR="0014706B" w:rsidRDefault="0014706B">
      <w:pPr>
        <w:spacing w:after="0"/>
      </w:pPr>
    </w:p>
    <w:p w14:paraId="768AA19A" w14:textId="77777777" w:rsidR="0014706B" w:rsidRDefault="00762929">
      <w:r>
        <w:t>Na kraju 2024. godine ostvaren je višak iz nekoliko izvora, što je iznosilo 33.246,10 eur. </w:t>
      </w:r>
    </w:p>
    <w:p w14:paraId="3F667FD8" w14:textId="77777777" w:rsidR="0014706B" w:rsidRDefault="00762929">
      <w:r>
        <w:t>Na računima razreda 31 (rashodi za zaposlene), zbog ukidanja podskupine računa 193, na zadnji dan u mjesecu odn. godini evidentira se rashod za plaće i naknade. Prihoda u tom trenutku nema - biti će ostvaren u trenutku podmirivanja obveze. To je razlog met</w:t>
      </w:r>
      <w:r>
        <w:t>odološkog manjka na dan 31.12.2025. godine koji za sve plaće i naknade iznosi 168.449,99 eur. Metodološki manjak djelomično je pokriven viškom iz drugih izvora, pa je tako dobiven rezultat 31.12.25. iskazan u bilanci.</w:t>
      </w:r>
    </w:p>
    <w:p w14:paraId="5A43456D" w14:textId="77777777" w:rsidR="0014706B" w:rsidRDefault="0014706B"/>
    <w:p w14:paraId="61CB5D2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044C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0C8D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540E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8FB7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3308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9D5B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9386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23507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A56429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A4518C3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7D3A10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CD50ECA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15.428,23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4A52A48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158.115,07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F53F04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1024,8</w:t>
            </w:r>
          </w:p>
        </w:tc>
      </w:tr>
    </w:tbl>
    <w:p w14:paraId="3771101C" w14:textId="77777777" w:rsidR="0014706B" w:rsidRDefault="0014706B">
      <w:pPr>
        <w:spacing w:after="0"/>
      </w:pPr>
    </w:p>
    <w:p w14:paraId="0783DD5D" w14:textId="77777777" w:rsidR="0014706B" w:rsidRDefault="00762929">
      <w:r>
        <w:t>Pravilnikom o izmjenama i dopunama Pravilnika o proračunskom računovodstvu i računskom planu (NN 154/24) koji je stupio na snagu 01.01.2025. godine počinjemo s evidencijom potraživanja po svim osnovama, osim za potraživanja iz nadležnog proračuna. Kako tog</w:t>
      </w:r>
      <w:r>
        <w:t xml:space="preserve"> potraživanja u početnom stanju nema, stanje 01.01.2025. je znatno manje od onog na kraju razdoblja. </w:t>
      </w:r>
    </w:p>
    <w:p w14:paraId="68CFEE6F" w14:textId="77777777" w:rsidR="0014706B" w:rsidRDefault="0014706B"/>
    <w:p w14:paraId="0BFAF444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4AF7E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9834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F46C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B8C1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A775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04F4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DD2A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38BB0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3F6832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3112A42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- </w:t>
            </w:r>
            <w:r>
              <w:rPr>
                <w:sz w:val="18"/>
              </w:rPr>
              <w:t>nedospjela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48EF255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AF35DD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57.975,23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56540A6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188.109,07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86E1E4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324,5</w:t>
            </w:r>
          </w:p>
        </w:tc>
      </w:tr>
    </w:tbl>
    <w:p w14:paraId="1109A43A" w14:textId="77777777" w:rsidR="0014706B" w:rsidRDefault="0014706B">
      <w:pPr>
        <w:spacing w:after="0"/>
      </w:pPr>
    </w:p>
    <w:p w14:paraId="39EE080F" w14:textId="77777777" w:rsidR="0014706B" w:rsidRDefault="00762929">
      <w:r>
        <w:t>Izdvajanjem potraživanja za zajedničke prihode, vidljivo je da su oni razlogom velikog indeksa.</w:t>
      </w:r>
    </w:p>
    <w:p w14:paraId="7BB7E9C2" w14:textId="77777777" w:rsidR="0014706B" w:rsidRDefault="00762929">
      <w:r>
        <w:t>Potraživanje koje knjižimo od 01.01.2025. u ovom slučaju uključuje potraživanje za plaće i naknade MZO i naknade zbog nezapošljavanja invalida za 12 mjesec 2025. godine, razlogom je velikog indeksa.</w:t>
      </w:r>
    </w:p>
    <w:p w14:paraId="598FAE29" w14:textId="77777777" w:rsidR="0014706B" w:rsidRDefault="0014706B"/>
    <w:p w14:paraId="7819504E" w14:textId="77777777" w:rsidR="0014706B" w:rsidRDefault="0076292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E2AB260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52.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7D9A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9F86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B2DB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54BA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30EE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02664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D75B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27734C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3FABD9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5478A7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497DDC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1251B3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1.957.145,54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7924F6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2.336.975,04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FDA36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0D4F64EA" w14:textId="77777777" w:rsidR="0014706B" w:rsidRDefault="0014706B">
      <w:pPr>
        <w:spacing w:after="0"/>
      </w:pPr>
    </w:p>
    <w:p w14:paraId="39DF2B7B" w14:textId="77777777" w:rsidR="0014706B" w:rsidRDefault="00762929">
      <w:r>
        <w:t>Ukupni rashodi u 2025. godini su veći nego u 2024. godini, pa tako i rashodi za odvijanje osnovnog procesa obrazovanja. Ova promjena je detaljno objašnjena kroz pojedinačne stavke rashoda u drugim obrascima financijskih izvještaja.</w:t>
      </w:r>
    </w:p>
    <w:p w14:paraId="4193CDEF" w14:textId="77777777" w:rsidR="0014706B" w:rsidRDefault="0014706B"/>
    <w:p w14:paraId="5E502D7A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498CE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D917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</w:t>
            </w:r>
            <w:r>
              <w:rPr>
                <w:b/>
                <w:sz w:val="18"/>
              </w:rPr>
              <w:t>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33F0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5C87B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907D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E0E2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0F82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71B277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E7583B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D49EAE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7C666D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163BFF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99.962,68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AC81E41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111.872,92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A3D6E05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669D7B79" w14:textId="77777777" w:rsidR="0014706B" w:rsidRDefault="0014706B">
      <w:pPr>
        <w:spacing w:after="0"/>
      </w:pPr>
    </w:p>
    <w:p w14:paraId="4296C52C" w14:textId="77777777" w:rsidR="0014706B" w:rsidRDefault="00762929">
      <w:r>
        <w:t xml:space="preserve">Dodatne usluge u obrazovanju su dopunske usluge namijenjene prvenstveno za učenike. U ovoj instituciji one obuhvaćaju rashode prijevoza i prehrane. Rashodi prijevoza učenika - učeničke mjesečne i/ili godišnje autobusne karte - su evidetirani do 30.6.2025. </w:t>
      </w:r>
      <w:r>
        <w:t>nakon čega je Grad Pula - Pola donio odluku o besplatnom prijevozu učenika javnim gradskim prijevozom. Stoga su ti rashodi manji u odnosu na 2024. godinu. Rashod za nabavku namirnica je u 2025. godini veći nego u 2024.godini. Posljedica je većeg broja kori</w:t>
      </w:r>
      <w:r>
        <w:t>snika usluga produženog boravka i dodatnog obroka u školi.</w:t>
      </w:r>
    </w:p>
    <w:p w14:paraId="2D16F843" w14:textId="77777777" w:rsidR="0014706B" w:rsidRDefault="0014706B"/>
    <w:p w14:paraId="653EDC8F" w14:textId="77777777" w:rsidR="0014706B" w:rsidRDefault="0076292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7A038F6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54495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5F52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9E2E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3AC8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EE91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0479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601A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2E30B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DC1B684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B83AB1D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548441C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069D86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7A11AA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88.783,06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A893E87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304289" w14:textId="77777777" w:rsidR="0014706B" w:rsidRDefault="0014706B">
      <w:pPr>
        <w:spacing w:after="0"/>
      </w:pPr>
    </w:p>
    <w:p w14:paraId="197546DB" w14:textId="77777777" w:rsidR="0014706B" w:rsidRDefault="00762929">
      <w:r>
        <w:t>Ukupna vrijednost smanjenja proizvedene dugotrajne imovine sastoji se od: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1"/>
        <w:gridCol w:w="7632"/>
      </w:tblGrid>
      <w:tr w:rsidR="0014706B" w14:paraId="450B1D7B" w14:textId="77777777">
        <w:tc>
          <w:tcPr>
            <w:tcW w:w="1034" w:type="pct"/>
            <w:vAlign w:val="center"/>
          </w:tcPr>
          <w:p w14:paraId="432C052B" w14:textId="77777777" w:rsidR="0014706B" w:rsidRDefault="00762929">
            <w:r>
              <w:t>81.870,79 eura</w:t>
            </w:r>
          </w:p>
        </w:tc>
        <w:tc>
          <w:tcPr>
            <w:tcW w:w="3965" w:type="pct"/>
            <w:vAlign w:val="center"/>
          </w:tcPr>
          <w:p w14:paraId="0ACF12A6" w14:textId="77777777" w:rsidR="0014706B" w:rsidRDefault="00762929">
            <w:r>
              <w:t>otpis vrijednosti dugotrajne imovine 31.12.25.</w:t>
            </w:r>
          </w:p>
        </w:tc>
      </w:tr>
      <w:tr w:rsidR="0014706B" w14:paraId="3D4FCFB2" w14:textId="77777777">
        <w:tc>
          <w:tcPr>
            <w:tcW w:w="1034" w:type="pct"/>
            <w:vAlign w:val="center"/>
          </w:tcPr>
          <w:p w14:paraId="5676D3D8" w14:textId="77777777" w:rsidR="0014706B" w:rsidRDefault="00762929">
            <w:r>
              <w:t>6.912,27 eura</w:t>
            </w:r>
          </w:p>
        </w:tc>
        <w:tc>
          <w:tcPr>
            <w:tcW w:w="3965" w:type="pct"/>
            <w:vAlign w:val="center"/>
          </w:tcPr>
          <w:p w14:paraId="27A9EF58" w14:textId="77777777" w:rsidR="0014706B" w:rsidRDefault="00762929">
            <w:r>
              <w:t>rashod imovine koja je u trenutku rashoda imala sadašnju vrijednost</w:t>
            </w:r>
          </w:p>
        </w:tc>
      </w:tr>
    </w:tbl>
    <w:p w14:paraId="39DFB981" w14:textId="77777777" w:rsidR="0014706B" w:rsidRDefault="00762929">
      <w:r>
        <w:t> </w:t>
      </w:r>
    </w:p>
    <w:p w14:paraId="56DC5B89" w14:textId="77777777" w:rsidR="0014706B" w:rsidRDefault="0014706B"/>
    <w:p w14:paraId="5EB07028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1F642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BA31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DA80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36D6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9F5F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EF3B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91A56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E0884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F55827C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7BABCE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97AF91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DB2DFEB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14.219,77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244F7CF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AE3BE4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</w:tbl>
    <w:p w14:paraId="57DAF3AD" w14:textId="77777777" w:rsidR="0014706B" w:rsidRDefault="0014706B">
      <w:pPr>
        <w:spacing w:after="0"/>
      </w:pPr>
    </w:p>
    <w:p w14:paraId="05C319FB" w14:textId="77777777" w:rsidR="0014706B" w:rsidRDefault="00762929">
      <w:r>
        <w:t>Iznos povećanja obujma nefinancijske imovine sastoji se od ukupnih investicija Grada Pula - Pola u Osnovnu školu Veruda Pula, evidentiranih temeljem Rješenja Grada o prijenosu imovine.</w:t>
      </w:r>
    </w:p>
    <w:p w14:paraId="28C85567" w14:textId="77777777" w:rsidR="0014706B" w:rsidRDefault="00762929">
      <w:r>
        <w:t xml:space="preserve">Iznos smanjenje obujma nefinancijske imovine sastoji se od vrijednosti </w:t>
      </w:r>
      <w:r>
        <w:t>izgubljenih knjiga iz školske knjižnice.</w:t>
      </w:r>
    </w:p>
    <w:p w14:paraId="28811222" w14:textId="77777777" w:rsidR="0014706B" w:rsidRDefault="0014706B"/>
    <w:p w14:paraId="7AA1614A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706B" w14:paraId="23B3A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E43E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FBDA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C57A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ACE2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2673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F38D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66E9D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E87062E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D04D638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D9B157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1921D2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D75A5EE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936,33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56B74D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9A03FD" w14:textId="77777777" w:rsidR="0014706B" w:rsidRDefault="0014706B">
      <w:pPr>
        <w:spacing w:after="0"/>
      </w:pPr>
    </w:p>
    <w:p w14:paraId="7B97CCE2" w14:textId="77777777" w:rsidR="0014706B" w:rsidRDefault="00762929">
      <w:r>
        <w:t>Kao smanjenje u obujmu financijske imovine evidnetiran je otpis nenaplativih potraživanja od roditelja (kupaca) temeljem Odluke ravnateljice i Odluke upravljačkog tijela škole. </w:t>
      </w:r>
    </w:p>
    <w:p w14:paraId="099C015A" w14:textId="77777777" w:rsidR="0014706B" w:rsidRDefault="0014706B"/>
    <w:p w14:paraId="40EC87ED" w14:textId="77777777" w:rsidR="0014706B" w:rsidRDefault="0076292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D276BB5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700"/>
      </w:tblGrid>
      <w:tr w:rsidR="0014706B" w14:paraId="3D7E17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BEC1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C6F4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55FF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E6B1C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FBA62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716FE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95FD631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CA8D710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544F62A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4891C82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2.091,16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B17474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308684" w14:textId="77777777" w:rsidR="0014706B" w:rsidRDefault="0014706B">
      <w:pPr>
        <w:spacing w:after="0"/>
      </w:pPr>
    </w:p>
    <w:p w14:paraId="78A57C99" w14:textId="77777777" w:rsidR="0014706B" w:rsidRDefault="00762929">
      <w:r>
        <w:t>Dospjele obveze na kraju izvještajnog razdoblja iznose 2.091,16 eura. To su dva računa.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4"/>
        <w:gridCol w:w="1907"/>
        <w:gridCol w:w="1062"/>
        <w:gridCol w:w="1242"/>
        <w:gridCol w:w="4189"/>
      </w:tblGrid>
      <w:tr w:rsidR="0014706B" w14:paraId="521009FD" w14:textId="77777777">
        <w:trPr>
          <w:trHeight w:val="540"/>
        </w:trPr>
        <w:tc>
          <w:tcPr>
            <w:tcW w:w="635" w:type="pct"/>
            <w:vAlign w:val="center"/>
          </w:tcPr>
          <w:p w14:paraId="7FA9E327" w14:textId="77777777" w:rsidR="0014706B" w:rsidRDefault="00762929">
            <w:r>
              <w:t>datum računa</w:t>
            </w:r>
          </w:p>
        </w:tc>
        <w:tc>
          <w:tcPr>
            <w:tcW w:w="990" w:type="pct"/>
            <w:vAlign w:val="center"/>
          </w:tcPr>
          <w:p w14:paraId="337C4CD3" w14:textId="77777777" w:rsidR="0014706B" w:rsidRDefault="00762929">
            <w:r>
              <w:t>datum primitka eRačuna</w:t>
            </w:r>
          </w:p>
        </w:tc>
        <w:tc>
          <w:tcPr>
            <w:tcW w:w="551" w:type="pct"/>
            <w:vAlign w:val="center"/>
          </w:tcPr>
          <w:p w14:paraId="429C05A8" w14:textId="77777777" w:rsidR="0014706B" w:rsidRDefault="00762929">
            <w:r>
              <w:t>rok plaćanja</w:t>
            </w:r>
          </w:p>
        </w:tc>
        <w:tc>
          <w:tcPr>
            <w:tcW w:w="645" w:type="pct"/>
            <w:vAlign w:val="center"/>
          </w:tcPr>
          <w:p w14:paraId="7691D10C" w14:textId="77777777" w:rsidR="0014706B" w:rsidRDefault="00762929">
            <w:r>
              <w:t>iznos u eurima</w:t>
            </w:r>
          </w:p>
        </w:tc>
        <w:tc>
          <w:tcPr>
            <w:tcW w:w="2176" w:type="pct"/>
            <w:vAlign w:val="center"/>
          </w:tcPr>
          <w:p w14:paraId="530DC374" w14:textId="77777777" w:rsidR="0014706B" w:rsidRDefault="00762929">
            <w:r>
              <w:t>dobavljač</w:t>
            </w:r>
          </w:p>
        </w:tc>
      </w:tr>
      <w:tr w:rsidR="0014706B" w14:paraId="70F03884" w14:textId="77777777">
        <w:trPr>
          <w:trHeight w:val="540"/>
        </w:trPr>
        <w:tc>
          <w:tcPr>
            <w:tcW w:w="635" w:type="pct"/>
            <w:vAlign w:val="center"/>
          </w:tcPr>
          <w:p w14:paraId="4C5C0860" w14:textId="77777777" w:rsidR="0014706B" w:rsidRDefault="00762929">
            <w:r>
              <w:t>01.12.2025.</w:t>
            </w:r>
          </w:p>
        </w:tc>
        <w:tc>
          <w:tcPr>
            <w:tcW w:w="990" w:type="pct"/>
            <w:vAlign w:val="center"/>
          </w:tcPr>
          <w:p w14:paraId="01BA2013" w14:textId="77777777" w:rsidR="0014706B" w:rsidRDefault="00762929">
            <w:r>
              <w:t>30.12.2025.</w:t>
            </w:r>
          </w:p>
        </w:tc>
        <w:tc>
          <w:tcPr>
            <w:tcW w:w="551" w:type="pct"/>
            <w:vAlign w:val="center"/>
          </w:tcPr>
          <w:p w14:paraId="5C6D1A2B" w14:textId="77777777" w:rsidR="0014706B" w:rsidRDefault="00762929">
            <w:r>
              <w:t>31.12.2025.</w:t>
            </w:r>
          </w:p>
        </w:tc>
        <w:tc>
          <w:tcPr>
            <w:tcW w:w="645" w:type="pct"/>
            <w:vAlign w:val="center"/>
          </w:tcPr>
          <w:p w14:paraId="6091D656" w14:textId="77777777" w:rsidR="0014706B" w:rsidRDefault="00762929">
            <w:r>
              <w:t>1.954,66</w:t>
            </w:r>
          </w:p>
        </w:tc>
        <w:tc>
          <w:tcPr>
            <w:tcW w:w="2176" w:type="pct"/>
            <w:vAlign w:val="center"/>
          </w:tcPr>
          <w:p w14:paraId="55D8959B" w14:textId="77777777" w:rsidR="0014706B" w:rsidRDefault="00762929">
            <w:r>
              <w:t>Ghia sport - zaprimljen dan prije isteka roka plaćanja. Račun je bio sporan zbog neisporuke dijela narudžbe. Pisana dokumentacija se nalazi u privitku računa. Knjižen 31.12.2025., a plaćen u siječnju 2026.g</w:t>
            </w:r>
          </w:p>
        </w:tc>
      </w:tr>
      <w:tr w:rsidR="0014706B" w14:paraId="6C7BB746" w14:textId="77777777">
        <w:trPr>
          <w:trHeight w:val="540"/>
        </w:trPr>
        <w:tc>
          <w:tcPr>
            <w:tcW w:w="635" w:type="pct"/>
            <w:vAlign w:val="center"/>
          </w:tcPr>
          <w:p w14:paraId="4AB51EA8" w14:textId="77777777" w:rsidR="0014706B" w:rsidRDefault="00762929">
            <w:r>
              <w:t>19.12.2025.</w:t>
            </w:r>
          </w:p>
        </w:tc>
        <w:tc>
          <w:tcPr>
            <w:tcW w:w="990" w:type="pct"/>
            <w:vAlign w:val="center"/>
          </w:tcPr>
          <w:p w14:paraId="2165F2DE" w14:textId="77777777" w:rsidR="0014706B" w:rsidRDefault="00762929">
            <w:r>
              <w:t>29.12.2025.</w:t>
            </w:r>
          </w:p>
        </w:tc>
        <w:tc>
          <w:tcPr>
            <w:tcW w:w="551" w:type="pct"/>
            <w:vAlign w:val="center"/>
          </w:tcPr>
          <w:p w14:paraId="5F22EE56" w14:textId="77777777" w:rsidR="0014706B" w:rsidRDefault="00762929">
            <w:r>
              <w:t>26.12.2025.</w:t>
            </w:r>
          </w:p>
        </w:tc>
        <w:tc>
          <w:tcPr>
            <w:tcW w:w="645" w:type="pct"/>
            <w:vAlign w:val="center"/>
          </w:tcPr>
          <w:p w14:paraId="5A1E4237" w14:textId="77777777" w:rsidR="0014706B" w:rsidRDefault="00762929">
            <w:r>
              <w:t>136,50</w:t>
            </w:r>
          </w:p>
        </w:tc>
        <w:tc>
          <w:tcPr>
            <w:tcW w:w="2176" w:type="pct"/>
            <w:vAlign w:val="center"/>
          </w:tcPr>
          <w:p w14:paraId="55DF242D" w14:textId="77777777" w:rsidR="0014706B" w:rsidRDefault="00762929">
            <w:r>
              <w:t>Sun f</w:t>
            </w:r>
            <w:r>
              <w:t>ruit - zaprimljen nakon isteka roka plaćanja. Knjižen 31.12.2025., a plaćen u siječnju 2026.g</w:t>
            </w:r>
          </w:p>
        </w:tc>
      </w:tr>
    </w:tbl>
    <w:p w14:paraId="6132EBF8" w14:textId="77777777" w:rsidR="0014706B" w:rsidRDefault="00762929">
      <w:r>
        <w:t>  </w:t>
      </w:r>
      <w:r>
        <w:br/>
      </w:r>
    </w:p>
    <w:p w14:paraId="79936687" w14:textId="77777777" w:rsidR="0014706B" w:rsidRDefault="0014706B"/>
    <w:p w14:paraId="26D1364A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700"/>
      </w:tblGrid>
      <w:tr w:rsidR="0014706B" w14:paraId="30CBF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C886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AABBE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B725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D3C2F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A97B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0235F0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CE13B57" w14:textId="77777777" w:rsidR="0014706B" w:rsidRDefault="0014706B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7AE3C0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24237C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161C51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4.539,79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ED23B3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55E704" w14:textId="77777777" w:rsidR="0014706B" w:rsidRDefault="0014706B">
      <w:pPr>
        <w:spacing w:after="0"/>
      </w:pPr>
    </w:p>
    <w:p w14:paraId="7C8C8358" w14:textId="77777777" w:rsidR="0014706B" w:rsidRDefault="00762929">
      <w:r>
        <w:t>Nedospjele međusobne obveze subjekata općeg proračuna se sastoje od obveza HZZO za povrat u proračun 4.379,54 eura i računa Nastavnog zavoda za javno zdravstvo Istarske županije u iznosu 160,25 eura.</w:t>
      </w:r>
    </w:p>
    <w:p w14:paraId="3597BBEF" w14:textId="77777777" w:rsidR="0014706B" w:rsidRDefault="0014706B"/>
    <w:p w14:paraId="19118822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700"/>
      </w:tblGrid>
      <w:tr w:rsidR="0014706B" w14:paraId="37BF8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03EB1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1EAF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EBC79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14C25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</w:t>
            </w:r>
            <w:r>
              <w:rPr>
                <w:b/>
                <w:sz w:val="18"/>
              </w:rPr>
              <w:t>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2E747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6A8B5E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9792E6B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8F6AB8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3A1ECF54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B04A454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180.967,90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0C210A0D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C49703" w14:textId="77777777" w:rsidR="0014706B" w:rsidRDefault="0014706B">
      <w:pPr>
        <w:spacing w:after="0"/>
      </w:pPr>
    </w:p>
    <w:p w14:paraId="33E238CA" w14:textId="77777777" w:rsidR="0014706B" w:rsidRDefault="00762929">
      <w:r>
        <w:t>Nedospjele obveze za rashode poslovanja se sastoje od: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6"/>
        <w:gridCol w:w="4806"/>
      </w:tblGrid>
      <w:tr w:rsidR="0014706B" w14:paraId="000670E0" w14:textId="77777777">
        <w:tc>
          <w:tcPr>
            <w:tcW w:w="2497" w:type="pct"/>
            <w:vAlign w:val="center"/>
          </w:tcPr>
          <w:p w14:paraId="08A96A0A" w14:textId="77777777" w:rsidR="0014706B" w:rsidRDefault="00762929">
            <w:r>
              <w:t>168.767,45 eura</w:t>
            </w:r>
          </w:p>
        </w:tc>
        <w:tc>
          <w:tcPr>
            <w:tcW w:w="2497" w:type="pct"/>
            <w:vAlign w:val="center"/>
          </w:tcPr>
          <w:p w14:paraId="6655AE23" w14:textId="77777777" w:rsidR="0014706B" w:rsidRDefault="00762929">
            <w:r>
              <w:t>"231" plaće i naknade</w:t>
            </w:r>
          </w:p>
        </w:tc>
      </w:tr>
      <w:tr w:rsidR="0014706B" w14:paraId="113D3EE6" w14:textId="77777777">
        <w:tc>
          <w:tcPr>
            <w:tcW w:w="2497" w:type="pct"/>
            <w:vAlign w:val="center"/>
          </w:tcPr>
          <w:p w14:paraId="1224F408" w14:textId="77777777" w:rsidR="0014706B" w:rsidRDefault="00762929">
            <w:r>
              <w:t>2.289,98 eura</w:t>
            </w:r>
          </w:p>
        </w:tc>
        <w:tc>
          <w:tcPr>
            <w:tcW w:w="2497" w:type="pct"/>
            <w:vAlign w:val="center"/>
          </w:tcPr>
          <w:p w14:paraId="2EB2824B" w14:textId="77777777" w:rsidR="0014706B" w:rsidRDefault="00762929">
            <w:r>
              <w:t>"232" prijevoz zaposlenika</w:t>
            </w:r>
          </w:p>
        </w:tc>
      </w:tr>
      <w:tr w:rsidR="0014706B" w14:paraId="54AC5969" w14:textId="77777777">
        <w:tc>
          <w:tcPr>
            <w:tcW w:w="2497" w:type="pct"/>
            <w:vAlign w:val="center"/>
          </w:tcPr>
          <w:p w14:paraId="75A2C209" w14:textId="77777777" w:rsidR="0014706B" w:rsidRDefault="00762929">
            <w:r>
              <w:t>194,00 eura</w:t>
            </w:r>
          </w:p>
        </w:tc>
        <w:tc>
          <w:tcPr>
            <w:tcW w:w="2497" w:type="pct"/>
            <w:vAlign w:val="center"/>
          </w:tcPr>
          <w:p w14:paraId="7FFAD438" w14:textId="77777777" w:rsidR="0014706B" w:rsidRDefault="00762929">
            <w:r>
              <w:t>"232" naknada zbog nezapošljavanja invalida za 12/2025</w:t>
            </w:r>
          </w:p>
        </w:tc>
      </w:tr>
      <w:tr w:rsidR="0014706B" w14:paraId="3EABC744" w14:textId="77777777">
        <w:tc>
          <w:tcPr>
            <w:tcW w:w="2497" w:type="pct"/>
            <w:vAlign w:val="center"/>
          </w:tcPr>
          <w:p w14:paraId="72EEEEBA" w14:textId="77777777" w:rsidR="0014706B" w:rsidRDefault="00762929">
            <w:r>
              <w:t>73,00 eura</w:t>
            </w:r>
          </w:p>
        </w:tc>
        <w:tc>
          <w:tcPr>
            <w:tcW w:w="2497" w:type="pct"/>
            <w:vAlign w:val="center"/>
          </w:tcPr>
          <w:p w14:paraId="534950C0" w14:textId="77777777" w:rsidR="0014706B" w:rsidRDefault="00762929">
            <w:r>
              <w:t>"232" ostali rashodi za zaposlene</w:t>
            </w:r>
          </w:p>
        </w:tc>
      </w:tr>
      <w:tr w:rsidR="0014706B" w14:paraId="105DA1A0" w14:textId="77777777">
        <w:tc>
          <w:tcPr>
            <w:tcW w:w="2497" w:type="pct"/>
            <w:vAlign w:val="center"/>
          </w:tcPr>
          <w:p w14:paraId="5F085CA9" w14:textId="77777777" w:rsidR="0014706B" w:rsidRDefault="00762929">
            <w:r>
              <w:t>9.643,47 eura</w:t>
            </w:r>
          </w:p>
        </w:tc>
        <w:tc>
          <w:tcPr>
            <w:tcW w:w="2497" w:type="pct"/>
            <w:vAlign w:val="center"/>
          </w:tcPr>
          <w:p w14:paraId="5ED79AE1" w14:textId="77777777" w:rsidR="0014706B" w:rsidRDefault="00762929">
            <w:r>
              <w:t>"232" dobavljači (bez HZZJZ)</w:t>
            </w:r>
          </w:p>
        </w:tc>
      </w:tr>
    </w:tbl>
    <w:p w14:paraId="730E4293" w14:textId="77777777" w:rsidR="0014706B" w:rsidRDefault="00762929">
      <w:r>
        <w:t> </w:t>
      </w:r>
    </w:p>
    <w:p w14:paraId="051CFE3D" w14:textId="77777777" w:rsidR="0014706B" w:rsidRDefault="0014706B"/>
    <w:p w14:paraId="44520EF3" w14:textId="77777777" w:rsidR="0014706B" w:rsidRDefault="00762929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700"/>
      </w:tblGrid>
      <w:tr w:rsidR="0014706B" w14:paraId="1DB83E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4613D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31648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AC00A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63173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3DF40" w14:textId="77777777" w:rsidR="0014706B" w:rsidRDefault="007629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706B" w14:paraId="398F20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05183D9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23BFF91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nabavu nefinancijske </w:t>
            </w:r>
            <w:r>
              <w:rPr>
                <w:sz w:val="18"/>
              </w:rPr>
              <w:t>imovine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2C80816" w14:textId="77777777" w:rsidR="0014706B" w:rsidRDefault="007629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EB067C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4.145,63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4964C2B9" w14:textId="77777777" w:rsidR="0014706B" w:rsidRDefault="007629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EB34E4" w14:textId="77777777" w:rsidR="0014706B" w:rsidRDefault="0014706B">
      <w:pPr>
        <w:spacing w:after="0"/>
      </w:pPr>
    </w:p>
    <w:p w14:paraId="5458DA6E" w14:textId="77777777" w:rsidR="0014706B" w:rsidRDefault="00762929">
      <w:r>
        <w:t>Nedospjele obveze za nabavu nefinancijske imovine se sastoje od jednog računa dobavljača.</w:t>
      </w:r>
    </w:p>
    <w:p w14:paraId="6FC0925D" w14:textId="77777777" w:rsidR="0014706B" w:rsidRDefault="0014706B"/>
    <w:sectPr w:rsidR="00147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B7C43"/>
    <w:multiLevelType w:val="hybridMultilevel"/>
    <w:tmpl w:val="D80AAFB6"/>
    <w:name w:val="disc"/>
    <w:lvl w:ilvl="0" w:tplc="46E0806C">
      <w:start w:val="1"/>
      <w:numFmt w:val="bullet"/>
      <w:lvlText w:val="•"/>
      <w:lvlJc w:val="left"/>
      <w:pPr>
        <w:ind w:left="720" w:hanging="360"/>
      </w:pPr>
    </w:lvl>
    <w:lvl w:ilvl="1" w:tplc="5384615E">
      <w:start w:val="1"/>
      <w:numFmt w:val="bullet"/>
      <w:lvlText w:val="•"/>
      <w:lvlJc w:val="left"/>
      <w:pPr>
        <w:ind w:left="1440" w:hanging="360"/>
      </w:pPr>
    </w:lvl>
    <w:lvl w:ilvl="2" w:tplc="C62ADD56">
      <w:start w:val="1"/>
      <w:numFmt w:val="bullet"/>
      <w:lvlText w:val="•"/>
      <w:lvlJc w:val="left"/>
      <w:pPr>
        <w:ind w:left="2160" w:hanging="360"/>
      </w:pPr>
    </w:lvl>
    <w:lvl w:ilvl="3" w:tplc="D980BDA4">
      <w:start w:val="1"/>
      <w:numFmt w:val="bullet"/>
      <w:lvlText w:val="•"/>
      <w:lvlJc w:val="left"/>
      <w:pPr>
        <w:ind w:left="2880" w:hanging="360"/>
      </w:pPr>
    </w:lvl>
    <w:lvl w:ilvl="4" w:tplc="E6B0809A">
      <w:start w:val="1"/>
      <w:numFmt w:val="bullet"/>
      <w:lvlText w:val="•"/>
      <w:lvlJc w:val="left"/>
      <w:pPr>
        <w:ind w:left="3600" w:hanging="360"/>
      </w:pPr>
    </w:lvl>
    <w:lvl w:ilvl="5" w:tplc="14EE5B16">
      <w:start w:val="1"/>
      <w:numFmt w:val="bullet"/>
      <w:lvlText w:val="•"/>
      <w:lvlJc w:val="left"/>
      <w:pPr>
        <w:ind w:left="4320" w:hanging="360"/>
      </w:pPr>
    </w:lvl>
    <w:lvl w:ilvl="6" w:tplc="EEC49DC6">
      <w:start w:val="1"/>
      <w:numFmt w:val="bullet"/>
      <w:lvlText w:val="•"/>
      <w:lvlJc w:val="left"/>
      <w:pPr>
        <w:ind w:left="5040" w:hanging="360"/>
      </w:pPr>
    </w:lvl>
    <w:lvl w:ilvl="7" w:tplc="2EDAE428">
      <w:start w:val="1"/>
      <w:numFmt w:val="bullet"/>
      <w:lvlText w:val="•"/>
      <w:lvlJc w:val="left"/>
      <w:pPr>
        <w:ind w:left="5760" w:hanging="360"/>
      </w:pPr>
    </w:lvl>
    <w:lvl w:ilvl="8" w:tplc="7D1E7FD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B"/>
    <w:rsid w:val="0014706B"/>
    <w:rsid w:val="007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1711"/>
  <w15:docId w15:val="{99E452F8-10AF-473B-977B-8D822C7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7198BEBC0044A5F57DC5914ECB49" ma:contentTypeVersion="10" ma:contentTypeDescription="Create a new document." ma:contentTypeScope="" ma:versionID="2ca08ec35996622cd0730c89023cce3b">
  <xsd:schema xmlns:xsd="http://www.w3.org/2001/XMLSchema" xmlns:xs="http://www.w3.org/2001/XMLSchema" xmlns:p="http://schemas.microsoft.com/office/2006/metadata/properties" xmlns:ns3="22278703-ed4a-48d7-87a0-137a914a6da2" targetNamespace="http://schemas.microsoft.com/office/2006/metadata/properties" ma:root="true" ma:fieldsID="ea84db0e6696609b3b0fec0babc58f1f" ns3:_="">
    <xsd:import namespace="22278703-ed4a-48d7-87a0-137a914a6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8703-ed4a-48d7-87a0-137a914a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F43CC-C8E4-4A38-A5B7-BDBBED356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8703-ed4a-48d7-87a0-137a914a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787A4-C80E-43EC-9AB6-5EB852BB3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CCE14-A368-40E7-9403-7246529657DD}">
  <ds:schemaRefs>
    <ds:schemaRef ds:uri="http://schemas.microsoft.com/office/2006/documentManagement/types"/>
    <ds:schemaRef ds:uri="22278703-ed4a-48d7-87a0-137a914a6da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4485</Words>
  <Characters>25570</Characters>
  <Application>Microsoft Office Word</Application>
  <DocSecurity>4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Sanela Jurak</cp:lastModifiedBy>
  <cp:revision>2</cp:revision>
  <dcterms:created xsi:type="dcterms:W3CDTF">2026-02-05T18:38:00Z</dcterms:created>
  <dcterms:modified xsi:type="dcterms:W3CDTF">2026-02-05T18:38:00Z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0x010100B0097198BEBC0044A5F57DC5914ECB49</vt:lpwstr>
  </property>
</Properties>
</file>